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41D" w:rsidRPr="00881021" w:rsidRDefault="00A4441D" w:rsidP="00881021">
      <w:pPr>
        <w:spacing w:after="0" w:line="360" w:lineRule="auto"/>
        <w:jc w:val="both"/>
        <w:outlineLvl w:val="0"/>
        <w:rPr>
          <w:rFonts w:ascii="Arial" w:hAnsi="Arial" w:cs="Arial"/>
          <w:b/>
          <w:bCs/>
          <w:sz w:val="23"/>
          <w:szCs w:val="23"/>
        </w:rPr>
      </w:pPr>
      <w:r w:rsidRPr="00881021">
        <w:rPr>
          <w:rFonts w:ascii="Arial" w:hAnsi="Arial" w:cs="Arial"/>
          <w:b/>
          <w:bCs/>
          <w:sz w:val="23"/>
          <w:szCs w:val="23"/>
        </w:rPr>
        <w:t>RED</w:t>
      </w:r>
      <w:r w:rsidR="00A5557B" w:rsidRPr="00881021">
        <w:rPr>
          <w:rFonts w:ascii="Arial" w:hAnsi="Arial" w:cs="Arial"/>
          <w:b/>
          <w:bCs/>
          <w:sz w:val="23"/>
          <w:szCs w:val="23"/>
        </w:rPr>
        <w:t>AÇ</w:t>
      </w:r>
      <w:r w:rsidR="00083AA2" w:rsidRPr="00881021">
        <w:rPr>
          <w:rFonts w:ascii="Arial" w:hAnsi="Arial" w:cs="Arial"/>
          <w:b/>
          <w:bCs/>
          <w:sz w:val="23"/>
          <w:szCs w:val="23"/>
        </w:rPr>
        <w:t>ÃO FINAL AO PROJETO DE LEI n. 58</w:t>
      </w:r>
      <w:r w:rsidRPr="00881021">
        <w:rPr>
          <w:rFonts w:ascii="Arial" w:hAnsi="Arial" w:cs="Arial"/>
          <w:b/>
          <w:bCs/>
          <w:sz w:val="23"/>
          <w:szCs w:val="23"/>
        </w:rPr>
        <w:t>/2015.</w:t>
      </w:r>
    </w:p>
    <w:p w:rsidR="00A4441D" w:rsidRPr="00881021" w:rsidRDefault="00A4441D" w:rsidP="00881021">
      <w:pPr>
        <w:spacing w:after="0" w:line="360" w:lineRule="auto"/>
        <w:jc w:val="both"/>
        <w:outlineLvl w:val="0"/>
        <w:rPr>
          <w:rFonts w:ascii="Arial" w:hAnsi="Arial" w:cs="Arial"/>
          <w:b/>
          <w:bCs/>
          <w:sz w:val="23"/>
          <w:szCs w:val="23"/>
        </w:rPr>
      </w:pPr>
    </w:p>
    <w:p w:rsidR="00083AA2" w:rsidRPr="00881021" w:rsidRDefault="00083AA2" w:rsidP="00881021">
      <w:pPr>
        <w:spacing w:after="0" w:line="360" w:lineRule="auto"/>
        <w:ind w:left="2126"/>
        <w:jc w:val="both"/>
        <w:rPr>
          <w:rFonts w:ascii="Arial" w:hAnsi="Arial" w:cs="Arial"/>
          <w:b/>
          <w:sz w:val="23"/>
          <w:szCs w:val="23"/>
        </w:rPr>
      </w:pPr>
      <w:r w:rsidRPr="00881021">
        <w:rPr>
          <w:rFonts w:ascii="Arial" w:hAnsi="Arial" w:cs="Arial"/>
          <w:b/>
          <w:sz w:val="23"/>
          <w:szCs w:val="23"/>
        </w:rPr>
        <w:t>Aprova Plano de Loteamento e Autorização para concessão de licença da outras providencias.</w:t>
      </w:r>
    </w:p>
    <w:p w:rsidR="00A4441D" w:rsidRPr="00881021" w:rsidRDefault="00A4441D" w:rsidP="00881021">
      <w:pPr>
        <w:spacing w:after="0" w:line="360" w:lineRule="auto"/>
        <w:ind w:left="2268"/>
        <w:contextualSpacing/>
        <w:jc w:val="both"/>
        <w:rPr>
          <w:rFonts w:ascii="Arial" w:hAnsi="Arial" w:cs="Arial"/>
          <w:bCs/>
          <w:sz w:val="23"/>
          <w:szCs w:val="23"/>
        </w:rPr>
      </w:pPr>
    </w:p>
    <w:p w:rsidR="00A4441D" w:rsidRPr="00881021" w:rsidRDefault="00A4441D" w:rsidP="00881021">
      <w:pPr>
        <w:spacing w:after="0" w:line="360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881021">
        <w:rPr>
          <w:rFonts w:ascii="Arial" w:hAnsi="Arial" w:cs="Arial"/>
          <w:sz w:val="23"/>
          <w:szCs w:val="23"/>
        </w:rPr>
        <w:t>O Presidente da Câmara Municipal de Vereadores de Guarujá do</w:t>
      </w:r>
      <w:r w:rsidR="00A5557B" w:rsidRPr="00881021">
        <w:rPr>
          <w:rFonts w:ascii="Arial" w:hAnsi="Arial" w:cs="Arial"/>
          <w:sz w:val="23"/>
          <w:szCs w:val="23"/>
        </w:rPr>
        <w:t xml:space="preserve"> Sul, Estado de Santa Catarina,</w:t>
      </w:r>
      <w:r w:rsidRPr="00881021">
        <w:rPr>
          <w:rFonts w:ascii="Arial" w:hAnsi="Arial" w:cs="Arial"/>
          <w:sz w:val="23"/>
          <w:szCs w:val="23"/>
        </w:rPr>
        <w:t xml:space="preserve"> Faz saber a todos os habitantes deste Município que a Câmara Municipal de Vereadores, votou, aprovou e eu sanciono a seguinte Lei:</w:t>
      </w:r>
    </w:p>
    <w:p w:rsidR="00083AA2" w:rsidRPr="00881021" w:rsidRDefault="00083AA2" w:rsidP="00881021">
      <w:pPr>
        <w:pStyle w:val="Recuodecorpodetexto2"/>
        <w:spacing w:after="0" w:line="360" w:lineRule="auto"/>
        <w:ind w:left="0" w:firstLine="2124"/>
        <w:jc w:val="both"/>
        <w:rPr>
          <w:rFonts w:ascii="Arial" w:hAnsi="Arial" w:cs="Arial"/>
          <w:sz w:val="23"/>
          <w:szCs w:val="23"/>
        </w:rPr>
      </w:pPr>
      <w:r w:rsidRPr="00881021">
        <w:rPr>
          <w:rFonts w:ascii="Arial" w:hAnsi="Arial" w:cs="Arial"/>
          <w:sz w:val="23"/>
          <w:szCs w:val="23"/>
        </w:rPr>
        <w:t>Art. 1º Fica aprovado o Loteamento denominado “LOTEAMENTO DIEHL”, a ser executado sobre a PARTE DA CHÁCARA n.º 02 com área de 60.000,0m2 (Sessenta</w:t>
      </w:r>
      <w:proofErr w:type="gramStart"/>
      <w:r w:rsidRPr="00881021">
        <w:rPr>
          <w:rFonts w:ascii="Arial" w:hAnsi="Arial" w:cs="Arial"/>
          <w:sz w:val="23"/>
          <w:szCs w:val="23"/>
        </w:rPr>
        <w:t xml:space="preserve">  </w:t>
      </w:r>
      <w:proofErr w:type="gramEnd"/>
      <w:r w:rsidRPr="00881021">
        <w:rPr>
          <w:rFonts w:ascii="Arial" w:hAnsi="Arial" w:cs="Arial"/>
          <w:sz w:val="23"/>
          <w:szCs w:val="23"/>
        </w:rPr>
        <w:t>mil metros quadrados), da Matricula 328, do Oficio de Registro de Imóveis, Comarca de São José do Cedro, situado no perímetro urbano de Guarujá do Sul, sem benfeitorias, confrontando: ao NORTE, com parte do lote rural 73; ao LESTE, com a chácara 03; ao SUDOESTE, com a antiga estrada geral e ao OESTE com a chácara nº 01 e novamente ao NORTE, com a chácara nº  01 e novamente ao OESTE, com a antiga estrada geral, fechando assim o perímetro.</w:t>
      </w:r>
    </w:p>
    <w:p w:rsidR="00083AA2" w:rsidRPr="00881021" w:rsidRDefault="00083AA2" w:rsidP="00881021">
      <w:pPr>
        <w:pStyle w:val="Recuodecorpodetexto2"/>
        <w:spacing w:after="0" w:line="360" w:lineRule="auto"/>
        <w:ind w:left="0" w:firstLine="2124"/>
        <w:jc w:val="both"/>
        <w:rPr>
          <w:rFonts w:ascii="Arial" w:hAnsi="Arial" w:cs="Arial"/>
          <w:sz w:val="23"/>
          <w:szCs w:val="23"/>
        </w:rPr>
      </w:pPr>
      <w:r w:rsidRPr="00881021">
        <w:rPr>
          <w:rFonts w:ascii="Arial" w:hAnsi="Arial" w:cs="Arial"/>
          <w:sz w:val="23"/>
          <w:szCs w:val="23"/>
        </w:rPr>
        <w:t>§ 1º O loteamento possui área total de 60.000,0m² (Sessenta mil metros quadrados), dos quais 16.779,37m², ou 27,97%, destinam-se para arruamentos;</w:t>
      </w:r>
      <w:proofErr w:type="gramStart"/>
      <w:r w:rsidRPr="00881021">
        <w:rPr>
          <w:rFonts w:ascii="Arial" w:hAnsi="Arial" w:cs="Arial"/>
          <w:sz w:val="23"/>
          <w:szCs w:val="23"/>
        </w:rPr>
        <w:t xml:space="preserve">  </w:t>
      </w:r>
      <w:proofErr w:type="gramEnd"/>
      <w:r w:rsidRPr="00881021">
        <w:rPr>
          <w:rFonts w:ascii="Arial" w:hAnsi="Arial" w:cs="Arial"/>
          <w:sz w:val="23"/>
          <w:szCs w:val="23"/>
        </w:rPr>
        <w:t xml:space="preserve">4.022,15m², ou 6,70%, para área verde; 1.034,38m², ou 1,72%, </w:t>
      </w:r>
      <w:r w:rsidRPr="00881021">
        <w:rPr>
          <w:rFonts w:ascii="Arial" w:hAnsi="Arial" w:cs="Arial"/>
          <w:color w:val="FF0000"/>
          <w:sz w:val="23"/>
          <w:szCs w:val="23"/>
        </w:rPr>
        <w:t xml:space="preserve"> </w:t>
      </w:r>
      <w:r w:rsidRPr="00881021">
        <w:rPr>
          <w:rFonts w:ascii="Arial" w:hAnsi="Arial" w:cs="Arial"/>
          <w:sz w:val="23"/>
          <w:szCs w:val="23"/>
        </w:rPr>
        <w:t>para uso institucional, perfazendo um total de 21.835,90m² de área pública que corresponde a 36,39% da área total e o restante 38.164,10 para lotes edificáveis que corresponde a 63,61%.</w:t>
      </w:r>
    </w:p>
    <w:p w:rsidR="00083AA2" w:rsidRPr="00881021" w:rsidRDefault="00083AA2" w:rsidP="00881021">
      <w:pPr>
        <w:pStyle w:val="Recuodecorpodetexto2"/>
        <w:spacing w:after="0" w:line="360" w:lineRule="auto"/>
        <w:ind w:left="0" w:firstLine="2124"/>
        <w:jc w:val="both"/>
        <w:rPr>
          <w:rFonts w:ascii="Arial" w:hAnsi="Arial" w:cs="Arial"/>
          <w:sz w:val="23"/>
          <w:szCs w:val="23"/>
        </w:rPr>
      </w:pPr>
      <w:r w:rsidRPr="00881021">
        <w:rPr>
          <w:rFonts w:ascii="Arial" w:hAnsi="Arial" w:cs="Arial"/>
          <w:sz w:val="23"/>
          <w:szCs w:val="23"/>
        </w:rPr>
        <w:t xml:space="preserve">§ 2º A subdivisão da área resultará em 10 quadras, num total de 86 lotes, numerados de </w:t>
      </w:r>
      <w:proofErr w:type="gramStart"/>
      <w:r w:rsidRPr="00881021">
        <w:rPr>
          <w:rFonts w:ascii="Arial" w:hAnsi="Arial" w:cs="Arial"/>
          <w:sz w:val="23"/>
          <w:szCs w:val="23"/>
        </w:rPr>
        <w:t>01 a 86, sendo 82 lotes vendáveis, 02 lotes destinados à área verde, 02 lotes</w:t>
      </w:r>
      <w:proofErr w:type="gramEnd"/>
      <w:r w:rsidRPr="00881021">
        <w:rPr>
          <w:rFonts w:ascii="Arial" w:hAnsi="Arial" w:cs="Arial"/>
          <w:sz w:val="23"/>
          <w:szCs w:val="23"/>
        </w:rPr>
        <w:t xml:space="preserve"> de área institucional.</w:t>
      </w:r>
    </w:p>
    <w:p w:rsidR="00083AA2" w:rsidRPr="00881021" w:rsidRDefault="00083AA2" w:rsidP="00881021">
      <w:pPr>
        <w:pStyle w:val="Recuodecorpodetexto2"/>
        <w:spacing w:after="0" w:line="360" w:lineRule="auto"/>
        <w:ind w:left="0" w:firstLine="2124"/>
        <w:jc w:val="both"/>
        <w:rPr>
          <w:rFonts w:ascii="Arial" w:hAnsi="Arial" w:cs="Arial"/>
          <w:sz w:val="23"/>
          <w:szCs w:val="23"/>
        </w:rPr>
      </w:pPr>
      <w:r w:rsidRPr="00881021">
        <w:rPr>
          <w:rFonts w:ascii="Arial" w:hAnsi="Arial" w:cs="Arial"/>
          <w:sz w:val="23"/>
          <w:szCs w:val="23"/>
        </w:rPr>
        <w:t xml:space="preserve">§ 3º A área loteada situa-se na ZR </w:t>
      </w:r>
      <w:proofErr w:type="gramStart"/>
      <w:r w:rsidRPr="00881021">
        <w:rPr>
          <w:rFonts w:ascii="Arial" w:hAnsi="Arial" w:cs="Arial"/>
          <w:sz w:val="23"/>
          <w:szCs w:val="23"/>
        </w:rPr>
        <w:t>6</w:t>
      </w:r>
      <w:proofErr w:type="gramEnd"/>
      <w:r w:rsidRPr="00881021">
        <w:rPr>
          <w:rFonts w:ascii="Arial" w:hAnsi="Arial" w:cs="Arial"/>
          <w:sz w:val="23"/>
          <w:szCs w:val="23"/>
        </w:rPr>
        <w:t xml:space="preserve"> (zona residencial 6) da cidade de Guarujá do Sul,  e terá os usos previstos para aquela região, conforme o plano diretor do município.</w:t>
      </w:r>
    </w:p>
    <w:p w:rsidR="00083AA2" w:rsidRPr="00881021" w:rsidRDefault="00083AA2" w:rsidP="00881021">
      <w:pPr>
        <w:pStyle w:val="Recuodecorpodetexto2"/>
        <w:spacing w:after="0" w:line="360" w:lineRule="auto"/>
        <w:ind w:left="0" w:firstLine="2124"/>
        <w:jc w:val="both"/>
        <w:rPr>
          <w:rFonts w:ascii="Arial" w:hAnsi="Arial" w:cs="Arial"/>
          <w:sz w:val="23"/>
          <w:szCs w:val="23"/>
        </w:rPr>
      </w:pPr>
      <w:r w:rsidRPr="00881021">
        <w:rPr>
          <w:rFonts w:ascii="Arial" w:hAnsi="Arial" w:cs="Arial"/>
          <w:sz w:val="23"/>
          <w:szCs w:val="23"/>
        </w:rPr>
        <w:t>Art. 2º O presente loteamento é interceptado pelo prolongamento da Rua Sabino Straub, Rua Professor Balduino Antônio Heck, Rua Professor Aluísio Albino Birck, Rua Darci Cavaglier e</w:t>
      </w:r>
      <w:proofErr w:type="gramStart"/>
      <w:r w:rsidRPr="00881021">
        <w:rPr>
          <w:rFonts w:ascii="Arial" w:hAnsi="Arial" w:cs="Arial"/>
          <w:sz w:val="23"/>
          <w:szCs w:val="23"/>
        </w:rPr>
        <w:t xml:space="preserve">  </w:t>
      </w:r>
      <w:proofErr w:type="gramEnd"/>
      <w:r w:rsidRPr="00881021">
        <w:rPr>
          <w:rFonts w:ascii="Arial" w:hAnsi="Arial" w:cs="Arial"/>
          <w:sz w:val="23"/>
          <w:szCs w:val="23"/>
        </w:rPr>
        <w:t xml:space="preserve">Rua João Panegaz com secção transversal de 15,0 metros  que farão parte do referido loteamento. Além das presentes ruas oficiais, fica criada mais três com a seguinte denominação: Rua Adelires </w:t>
      </w:r>
      <w:proofErr w:type="spellStart"/>
      <w:r w:rsidRPr="00881021">
        <w:rPr>
          <w:rFonts w:ascii="Arial" w:hAnsi="Arial" w:cs="Arial"/>
          <w:sz w:val="23"/>
          <w:szCs w:val="23"/>
        </w:rPr>
        <w:t>Schwaab</w:t>
      </w:r>
      <w:proofErr w:type="spellEnd"/>
      <w:r w:rsidRPr="00881021">
        <w:rPr>
          <w:rFonts w:ascii="Arial" w:hAnsi="Arial" w:cs="Arial"/>
          <w:sz w:val="23"/>
          <w:szCs w:val="23"/>
        </w:rPr>
        <w:t xml:space="preserve"> Wolfart, Rua </w:t>
      </w:r>
      <w:proofErr w:type="spellStart"/>
      <w:r w:rsidRPr="00881021">
        <w:rPr>
          <w:rFonts w:ascii="Arial" w:hAnsi="Arial" w:cs="Arial"/>
          <w:sz w:val="23"/>
          <w:szCs w:val="23"/>
        </w:rPr>
        <w:t>Leide</w:t>
      </w:r>
      <w:proofErr w:type="spellEnd"/>
      <w:r w:rsidRPr="00881021">
        <w:rPr>
          <w:rFonts w:ascii="Arial" w:hAnsi="Arial" w:cs="Arial"/>
          <w:sz w:val="23"/>
          <w:szCs w:val="23"/>
        </w:rPr>
        <w:t xml:space="preserve"> Daiane </w:t>
      </w:r>
      <w:proofErr w:type="spellStart"/>
      <w:r w:rsidRPr="00881021">
        <w:rPr>
          <w:rFonts w:ascii="Arial" w:hAnsi="Arial" w:cs="Arial"/>
          <w:sz w:val="23"/>
          <w:szCs w:val="23"/>
        </w:rPr>
        <w:t>Rissi</w:t>
      </w:r>
      <w:proofErr w:type="spellEnd"/>
      <w:r w:rsidRPr="00881021">
        <w:rPr>
          <w:rFonts w:ascii="Arial" w:hAnsi="Arial" w:cs="Arial"/>
          <w:sz w:val="23"/>
          <w:szCs w:val="23"/>
        </w:rPr>
        <w:t xml:space="preserve"> e Rua Renata </w:t>
      </w:r>
      <w:proofErr w:type="spellStart"/>
      <w:r w:rsidRPr="00881021">
        <w:rPr>
          <w:rFonts w:ascii="Arial" w:hAnsi="Arial" w:cs="Arial"/>
          <w:sz w:val="23"/>
          <w:szCs w:val="23"/>
        </w:rPr>
        <w:t>Wikowscki</w:t>
      </w:r>
      <w:proofErr w:type="spellEnd"/>
      <w:r w:rsidRPr="00881021">
        <w:rPr>
          <w:rFonts w:ascii="Arial" w:hAnsi="Arial" w:cs="Arial"/>
          <w:sz w:val="23"/>
          <w:szCs w:val="23"/>
        </w:rPr>
        <w:t xml:space="preserve"> Pagno, que farão parte do referido loteamento com secção transversal de 12,0 metros.</w:t>
      </w:r>
    </w:p>
    <w:p w:rsidR="00083AA2" w:rsidRPr="00881021" w:rsidRDefault="00083AA2" w:rsidP="00881021">
      <w:pPr>
        <w:pStyle w:val="Recuodecorpodetexto2"/>
        <w:spacing w:after="0" w:line="360" w:lineRule="auto"/>
        <w:ind w:left="0" w:firstLine="2124"/>
        <w:jc w:val="both"/>
        <w:rPr>
          <w:rFonts w:ascii="Arial" w:hAnsi="Arial" w:cs="Arial"/>
          <w:sz w:val="23"/>
          <w:szCs w:val="23"/>
        </w:rPr>
      </w:pPr>
      <w:r w:rsidRPr="00881021">
        <w:rPr>
          <w:rFonts w:ascii="Arial" w:hAnsi="Arial" w:cs="Arial"/>
          <w:sz w:val="23"/>
          <w:szCs w:val="23"/>
        </w:rPr>
        <w:lastRenderedPageBreak/>
        <w:t xml:space="preserve"> Art. 3º Fazem parte da presente Lei os seguintes documentos:</w:t>
      </w:r>
    </w:p>
    <w:p w:rsidR="00083AA2" w:rsidRPr="00881021" w:rsidRDefault="00083AA2" w:rsidP="00881021">
      <w:pPr>
        <w:pStyle w:val="Recuodecorpodetexto2"/>
        <w:spacing w:after="0" w:line="360" w:lineRule="auto"/>
        <w:ind w:left="0"/>
        <w:jc w:val="both"/>
        <w:rPr>
          <w:rFonts w:ascii="Arial" w:hAnsi="Arial" w:cs="Arial"/>
          <w:sz w:val="23"/>
          <w:szCs w:val="23"/>
        </w:rPr>
      </w:pPr>
      <w:r w:rsidRPr="00881021">
        <w:rPr>
          <w:rFonts w:ascii="Arial" w:hAnsi="Arial" w:cs="Arial"/>
          <w:sz w:val="23"/>
          <w:szCs w:val="23"/>
        </w:rPr>
        <w:t>I – Memorial descritivo do Loteamento;</w:t>
      </w:r>
    </w:p>
    <w:p w:rsidR="00083AA2" w:rsidRPr="00881021" w:rsidRDefault="00083AA2" w:rsidP="00881021">
      <w:pPr>
        <w:pStyle w:val="Recuodecorpodetexto2"/>
        <w:spacing w:after="0" w:line="360" w:lineRule="auto"/>
        <w:ind w:left="0"/>
        <w:jc w:val="both"/>
        <w:rPr>
          <w:rFonts w:ascii="Arial" w:hAnsi="Arial" w:cs="Arial"/>
          <w:sz w:val="23"/>
          <w:szCs w:val="23"/>
        </w:rPr>
      </w:pPr>
      <w:r w:rsidRPr="00881021">
        <w:rPr>
          <w:rFonts w:ascii="Arial" w:hAnsi="Arial" w:cs="Arial"/>
          <w:sz w:val="23"/>
          <w:szCs w:val="23"/>
        </w:rPr>
        <w:t>II – Termo de responsabilidade para Execução de Infraestrutura;</w:t>
      </w:r>
    </w:p>
    <w:p w:rsidR="00083AA2" w:rsidRPr="00881021" w:rsidRDefault="00083AA2" w:rsidP="00881021">
      <w:pPr>
        <w:pStyle w:val="Recuodecorpodetexto2"/>
        <w:spacing w:after="0" w:line="360" w:lineRule="auto"/>
        <w:ind w:left="0"/>
        <w:jc w:val="both"/>
        <w:rPr>
          <w:rFonts w:ascii="Arial" w:hAnsi="Arial" w:cs="Arial"/>
          <w:sz w:val="23"/>
          <w:szCs w:val="23"/>
        </w:rPr>
      </w:pPr>
      <w:r w:rsidRPr="00881021">
        <w:rPr>
          <w:rFonts w:ascii="Arial" w:hAnsi="Arial" w:cs="Arial"/>
          <w:sz w:val="23"/>
          <w:szCs w:val="23"/>
        </w:rPr>
        <w:t>III – Termo de compromisso;</w:t>
      </w:r>
    </w:p>
    <w:p w:rsidR="00083AA2" w:rsidRPr="00881021" w:rsidRDefault="00083AA2" w:rsidP="00881021">
      <w:pPr>
        <w:pStyle w:val="Recuodecorpodetexto2"/>
        <w:spacing w:after="0" w:line="360" w:lineRule="auto"/>
        <w:ind w:left="0"/>
        <w:jc w:val="both"/>
        <w:rPr>
          <w:rFonts w:ascii="Arial" w:hAnsi="Arial" w:cs="Arial"/>
          <w:sz w:val="23"/>
          <w:szCs w:val="23"/>
        </w:rPr>
      </w:pPr>
      <w:r w:rsidRPr="00881021">
        <w:rPr>
          <w:rFonts w:ascii="Arial" w:hAnsi="Arial" w:cs="Arial"/>
          <w:sz w:val="23"/>
          <w:szCs w:val="23"/>
        </w:rPr>
        <w:t>IV – Declaração;</w:t>
      </w:r>
    </w:p>
    <w:p w:rsidR="00083AA2" w:rsidRPr="00881021" w:rsidRDefault="00083AA2" w:rsidP="00881021">
      <w:pPr>
        <w:pStyle w:val="Recuodecorpodetexto2"/>
        <w:spacing w:after="0" w:line="360" w:lineRule="auto"/>
        <w:ind w:left="0"/>
        <w:jc w:val="both"/>
        <w:rPr>
          <w:rFonts w:ascii="Arial" w:hAnsi="Arial" w:cs="Arial"/>
          <w:sz w:val="23"/>
          <w:szCs w:val="23"/>
        </w:rPr>
      </w:pPr>
      <w:r w:rsidRPr="00881021">
        <w:rPr>
          <w:rFonts w:ascii="Arial" w:hAnsi="Arial" w:cs="Arial"/>
          <w:sz w:val="23"/>
          <w:szCs w:val="23"/>
        </w:rPr>
        <w:t>V – Certidão Atualizada do Imóvel;</w:t>
      </w:r>
    </w:p>
    <w:p w:rsidR="00083AA2" w:rsidRPr="00881021" w:rsidRDefault="00083AA2" w:rsidP="00881021">
      <w:pPr>
        <w:pStyle w:val="Recuodecorpodetexto2"/>
        <w:spacing w:after="0" w:line="360" w:lineRule="auto"/>
        <w:ind w:left="0"/>
        <w:jc w:val="both"/>
        <w:rPr>
          <w:rFonts w:ascii="Arial" w:hAnsi="Arial" w:cs="Arial"/>
          <w:sz w:val="23"/>
          <w:szCs w:val="23"/>
        </w:rPr>
      </w:pPr>
      <w:r w:rsidRPr="00881021">
        <w:rPr>
          <w:rFonts w:ascii="Arial" w:hAnsi="Arial" w:cs="Arial"/>
          <w:sz w:val="23"/>
          <w:szCs w:val="23"/>
        </w:rPr>
        <w:t>VI – Certidões Negativas;</w:t>
      </w:r>
    </w:p>
    <w:p w:rsidR="00083AA2" w:rsidRPr="00881021" w:rsidRDefault="00083AA2" w:rsidP="00881021">
      <w:pPr>
        <w:pStyle w:val="Recuodecorpodetexto2"/>
        <w:spacing w:after="0" w:line="360" w:lineRule="auto"/>
        <w:ind w:left="0"/>
        <w:jc w:val="both"/>
        <w:rPr>
          <w:rFonts w:ascii="Arial" w:hAnsi="Arial" w:cs="Arial"/>
          <w:sz w:val="23"/>
          <w:szCs w:val="23"/>
        </w:rPr>
      </w:pPr>
      <w:r w:rsidRPr="00881021">
        <w:rPr>
          <w:rFonts w:ascii="Arial" w:hAnsi="Arial" w:cs="Arial"/>
          <w:sz w:val="23"/>
          <w:szCs w:val="23"/>
        </w:rPr>
        <w:t>VII – Cronograma físico de execução do loteamento;</w:t>
      </w:r>
    </w:p>
    <w:p w:rsidR="00083AA2" w:rsidRPr="00881021" w:rsidRDefault="00083AA2" w:rsidP="00881021">
      <w:pPr>
        <w:pStyle w:val="Recuodecorpodetexto2"/>
        <w:spacing w:after="0" w:line="360" w:lineRule="auto"/>
        <w:ind w:left="0"/>
        <w:jc w:val="both"/>
        <w:rPr>
          <w:rFonts w:ascii="Arial" w:hAnsi="Arial" w:cs="Arial"/>
          <w:sz w:val="23"/>
          <w:szCs w:val="23"/>
        </w:rPr>
      </w:pPr>
      <w:r w:rsidRPr="00881021">
        <w:rPr>
          <w:rFonts w:ascii="Arial" w:hAnsi="Arial" w:cs="Arial"/>
          <w:sz w:val="23"/>
          <w:szCs w:val="23"/>
        </w:rPr>
        <w:t xml:space="preserve">VIII – </w:t>
      </w:r>
      <w:proofErr w:type="spellStart"/>
      <w:r w:rsidRPr="00881021">
        <w:rPr>
          <w:rFonts w:ascii="Arial" w:hAnsi="Arial" w:cs="Arial"/>
          <w:sz w:val="23"/>
          <w:szCs w:val="23"/>
        </w:rPr>
        <w:t>A.R.T.</w:t>
      </w:r>
      <w:proofErr w:type="spellEnd"/>
      <w:r w:rsidRPr="00881021">
        <w:rPr>
          <w:rFonts w:ascii="Arial" w:hAnsi="Arial" w:cs="Arial"/>
          <w:sz w:val="23"/>
          <w:szCs w:val="23"/>
        </w:rPr>
        <w:t>s dos profissionais responsáveis pelo projeto do Loteamento;</w:t>
      </w:r>
    </w:p>
    <w:p w:rsidR="00083AA2" w:rsidRPr="00881021" w:rsidRDefault="00083AA2" w:rsidP="00881021">
      <w:pPr>
        <w:pStyle w:val="Recuodecorpodetexto2"/>
        <w:spacing w:after="0" w:line="360" w:lineRule="auto"/>
        <w:ind w:left="0"/>
        <w:jc w:val="both"/>
        <w:rPr>
          <w:rFonts w:ascii="Arial" w:hAnsi="Arial" w:cs="Arial"/>
          <w:sz w:val="23"/>
          <w:szCs w:val="23"/>
        </w:rPr>
      </w:pPr>
      <w:r w:rsidRPr="00881021">
        <w:rPr>
          <w:rFonts w:ascii="Arial" w:hAnsi="Arial" w:cs="Arial"/>
          <w:sz w:val="23"/>
          <w:szCs w:val="23"/>
        </w:rPr>
        <w:t>IX – Licenças Ambientais;</w:t>
      </w:r>
    </w:p>
    <w:p w:rsidR="00083AA2" w:rsidRPr="00881021" w:rsidRDefault="00083AA2" w:rsidP="00881021">
      <w:pPr>
        <w:pStyle w:val="Recuodecorpodetexto2"/>
        <w:spacing w:after="0" w:line="360" w:lineRule="auto"/>
        <w:ind w:left="0"/>
        <w:jc w:val="both"/>
        <w:rPr>
          <w:rFonts w:ascii="Arial" w:hAnsi="Arial" w:cs="Arial"/>
          <w:sz w:val="23"/>
          <w:szCs w:val="23"/>
        </w:rPr>
      </w:pPr>
      <w:r w:rsidRPr="00881021">
        <w:rPr>
          <w:rFonts w:ascii="Arial" w:hAnsi="Arial" w:cs="Arial"/>
          <w:sz w:val="23"/>
          <w:szCs w:val="23"/>
        </w:rPr>
        <w:t>X – Memorial descritivo dos lotes;</w:t>
      </w:r>
    </w:p>
    <w:p w:rsidR="00083AA2" w:rsidRPr="00881021" w:rsidRDefault="00083AA2" w:rsidP="00881021">
      <w:pPr>
        <w:pStyle w:val="Recuodecorpodetexto2"/>
        <w:spacing w:after="0" w:line="360" w:lineRule="auto"/>
        <w:ind w:left="0"/>
        <w:jc w:val="both"/>
        <w:rPr>
          <w:rFonts w:ascii="Arial" w:hAnsi="Arial" w:cs="Arial"/>
          <w:sz w:val="23"/>
          <w:szCs w:val="23"/>
        </w:rPr>
      </w:pPr>
      <w:r w:rsidRPr="00881021">
        <w:rPr>
          <w:rFonts w:ascii="Arial" w:hAnsi="Arial" w:cs="Arial"/>
          <w:sz w:val="23"/>
          <w:szCs w:val="23"/>
        </w:rPr>
        <w:t>XI – Prancha LC – contendo a planta de situação;</w:t>
      </w:r>
    </w:p>
    <w:p w:rsidR="00083AA2" w:rsidRPr="00881021" w:rsidRDefault="00083AA2" w:rsidP="00881021">
      <w:pPr>
        <w:pStyle w:val="Recuodecorpodetexto2"/>
        <w:spacing w:after="0" w:line="360" w:lineRule="auto"/>
        <w:ind w:left="0"/>
        <w:jc w:val="both"/>
        <w:rPr>
          <w:rFonts w:ascii="Arial" w:hAnsi="Arial" w:cs="Arial"/>
          <w:sz w:val="23"/>
          <w:szCs w:val="23"/>
        </w:rPr>
      </w:pPr>
      <w:r w:rsidRPr="00881021">
        <w:rPr>
          <w:rFonts w:ascii="Arial" w:hAnsi="Arial" w:cs="Arial"/>
          <w:sz w:val="23"/>
          <w:szCs w:val="23"/>
        </w:rPr>
        <w:t>XII – Prancha 01 – contendo a planta baixa;</w:t>
      </w:r>
    </w:p>
    <w:p w:rsidR="00083AA2" w:rsidRPr="00881021" w:rsidRDefault="00083AA2" w:rsidP="00881021">
      <w:pPr>
        <w:pStyle w:val="Recuodecorpodetexto2"/>
        <w:spacing w:after="0" w:line="360" w:lineRule="auto"/>
        <w:ind w:left="0"/>
        <w:jc w:val="both"/>
        <w:rPr>
          <w:rFonts w:ascii="Arial" w:hAnsi="Arial" w:cs="Arial"/>
          <w:sz w:val="23"/>
          <w:szCs w:val="23"/>
        </w:rPr>
      </w:pPr>
      <w:r w:rsidRPr="00881021">
        <w:rPr>
          <w:rFonts w:ascii="Arial" w:hAnsi="Arial" w:cs="Arial"/>
          <w:sz w:val="23"/>
          <w:szCs w:val="23"/>
        </w:rPr>
        <w:t>XIII – Prancha 02 – contendo as curvas de níveis;</w:t>
      </w:r>
    </w:p>
    <w:p w:rsidR="00083AA2" w:rsidRPr="00881021" w:rsidRDefault="00083AA2" w:rsidP="00881021">
      <w:pPr>
        <w:pStyle w:val="Recuodecorpodetexto2"/>
        <w:spacing w:after="0" w:line="360" w:lineRule="auto"/>
        <w:ind w:left="0"/>
        <w:jc w:val="both"/>
        <w:rPr>
          <w:rFonts w:ascii="Arial" w:hAnsi="Arial" w:cs="Arial"/>
          <w:sz w:val="23"/>
          <w:szCs w:val="23"/>
        </w:rPr>
      </w:pPr>
      <w:r w:rsidRPr="00881021">
        <w:rPr>
          <w:rFonts w:ascii="Arial" w:hAnsi="Arial" w:cs="Arial"/>
          <w:sz w:val="23"/>
          <w:szCs w:val="23"/>
        </w:rPr>
        <w:t>XIV – Prancha D1 – contendo a drenagem pluvial;</w:t>
      </w:r>
    </w:p>
    <w:p w:rsidR="00083AA2" w:rsidRPr="00881021" w:rsidRDefault="00083AA2" w:rsidP="00881021">
      <w:pPr>
        <w:pStyle w:val="Recuodecorpodetexto2"/>
        <w:spacing w:after="0" w:line="360" w:lineRule="auto"/>
        <w:ind w:left="0"/>
        <w:jc w:val="both"/>
        <w:rPr>
          <w:rFonts w:ascii="Arial" w:hAnsi="Arial" w:cs="Arial"/>
          <w:sz w:val="23"/>
          <w:szCs w:val="23"/>
        </w:rPr>
      </w:pPr>
      <w:r w:rsidRPr="00881021">
        <w:rPr>
          <w:rFonts w:ascii="Arial" w:hAnsi="Arial" w:cs="Arial"/>
          <w:sz w:val="23"/>
          <w:szCs w:val="23"/>
        </w:rPr>
        <w:t>XV – Prancha DR – contendo detalhes da drenagem pluvial e perfil das Ruas;</w:t>
      </w:r>
    </w:p>
    <w:p w:rsidR="00083AA2" w:rsidRPr="00881021" w:rsidRDefault="00083AA2" w:rsidP="00881021">
      <w:pPr>
        <w:pStyle w:val="Recuodecorpodetexto2"/>
        <w:spacing w:after="0" w:line="360" w:lineRule="auto"/>
        <w:ind w:left="0"/>
        <w:jc w:val="both"/>
        <w:rPr>
          <w:rFonts w:ascii="Arial" w:hAnsi="Arial" w:cs="Arial"/>
          <w:sz w:val="23"/>
          <w:szCs w:val="23"/>
        </w:rPr>
      </w:pPr>
      <w:r w:rsidRPr="00881021">
        <w:rPr>
          <w:rFonts w:ascii="Arial" w:hAnsi="Arial" w:cs="Arial"/>
          <w:sz w:val="23"/>
          <w:szCs w:val="23"/>
        </w:rPr>
        <w:t>XVI – Prancha TR – contendo detalhes do tratamento de efluentes sanitários;</w:t>
      </w:r>
    </w:p>
    <w:p w:rsidR="00083AA2" w:rsidRPr="00881021" w:rsidRDefault="00083AA2" w:rsidP="00881021">
      <w:pPr>
        <w:pStyle w:val="Recuodecorpodetexto2"/>
        <w:spacing w:after="0" w:line="360" w:lineRule="auto"/>
        <w:ind w:left="0"/>
        <w:jc w:val="both"/>
        <w:rPr>
          <w:rFonts w:ascii="Arial" w:hAnsi="Arial" w:cs="Arial"/>
          <w:sz w:val="23"/>
          <w:szCs w:val="23"/>
        </w:rPr>
      </w:pPr>
      <w:r w:rsidRPr="00881021">
        <w:rPr>
          <w:rFonts w:ascii="Arial" w:hAnsi="Arial" w:cs="Arial"/>
          <w:sz w:val="23"/>
          <w:szCs w:val="23"/>
        </w:rPr>
        <w:t>XVII – Prancha T1 e T2 – contendo a terraplanagem Das ruas;</w:t>
      </w:r>
    </w:p>
    <w:p w:rsidR="00083AA2" w:rsidRPr="00881021" w:rsidRDefault="00083AA2" w:rsidP="00881021">
      <w:pPr>
        <w:pStyle w:val="Recuodecorpodetexto2"/>
        <w:spacing w:after="0" w:line="360" w:lineRule="auto"/>
        <w:ind w:left="0"/>
        <w:jc w:val="both"/>
        <w:rPr>
          <w:rFonts w:ascii="Arial" w:hAnsi="Arial" w:cs="Arial"/>
          <w:sz w:val="23"/>
          <w:szCs w:val="23"/>
        </w:rPr>
      </w:pPr>
      <w:r w:rsidRPr="00881021">
        <w:rPr>
          <w:rFonts w:ascii="Arial" w:hAnsi="Arial" w:cs="Arial"/>
          <w:sz w:val="23"/>
          <w:szCs w:val="23"/>
        </w:rPr>
        <w:t>XVIII – Declaração de viabilidade para loteamento</w:t>
      </w:r>
      <w:proofErr w:type="gramStart"/>
      <w:r w:rsidRPr="00881021">
        <w:rPr>
          <w:rFonts w:ascii="Arial" w:hAnsi="Arial" w:cs="Arial"/>
          <w:sz w:val="23"/>
          <w:szCs w:val="23"/>
        </w:rPr>
        <w:t xml:space="preserve">  </w:t>
      </w:r>
      <w:proofErr w:type="gramEnd"/>
      <w:r w:rsidRPr="00881021">
        <w:rPr>
          <w:rFonts w:ascii="Arial" w:hAnsi="Arial" w:cs="Arial"/>
          <w:sz w:val="23"/>
          <w:szCs w:val="23"/>
        </w:rPr>
        <w:t>e ampliação da rede de água da CASAN S.A;</w:t>
      </w:r>
    </w:p>
    <w:p w:rsidR="00083AA2" w:rsidRPr="00881021" w:rsidRDefault="00083AA2" w:rsidP="00881021">
      <w:pPr>
        <w:pStyle w:val="Recuodecorpodetexto2"/>
        <w:spacing w:after="0" w:line="360" w:lineRule="auto"/>
        <w:ind w:left="0"/>
        <w:jc w:val="both"/>
        <w:rPr>
          <w:rFonts w:ascii="Arial" w:hAnsi="Arial" w:cs="Arial"/>
          <w:sz w:val="23"/>
          <w:szCs w:val="23"/>
        </w:rPr>
      </w:pPr>
      <w:r w:rsidRPr="00881021">
        <w:rPr>
          <w:rFonts w:ascii="Arial" w:hAnsi="Arial" w:cs="Arial"/>
          <w:sz w:val="23"/>
          <w:szCs w:val="23"/>
        </w:rPr>
        <w:t>XIX – Prancha 01 - contendo o projeto de rede elétrica da CELESC S.A.</w:t>
      </w:r>
    </w:p>
    <w:p w:rsidR="00083AA2" w:rsidRPr="00881021" w:rsidRDefault="00881021" w:rsidP="00881021">
      <w:pPr>
        <w:pStyle w:val="Recuodecorpodetexto2"/>
        <w:spacing w:after="0" w:line="360" w:lineRule="auto"/>
        <w:ind w:left="0" w:firstLine="2124"/>
        <w:jc w:val="both"/>
        <w:rPr>
          <w:rFonts w:ascii="Arial" w:hAnsi="Arial" w:cs="Arial"/>
          <w:sz w:val="23"/>
          <w:szCs w:val="23"/>
        </w:rPr>
      </w:pPr>
      <w:r w:rsidRPr="00881021">
        <w:rPr>
          <w:rFonts w:ascii="Arial" w:hAnsi="Arial" w:cs="Arial"/>
          <w:sz w:val="23"/>
          <w:szCs w:val="23"/>
        </w:rPr>
        <w:t>Art. 4</w:t>
      </w:r>
      <w:r w:rsidR="00083AA2" w:rsidRPr="00881021">
        <w:rPr>
          <w:rFonts w:ascii="Arial" w:hAnsi="Arial" w:cs="Arial"/>
          <w:sz w:val="23"/>
          <w:szCs w:val="23"/>
        </w:rPr>
        <w:t>º Esta Lei entrará em vigor na data de sua publicação, ficando revogadas as disposições em contrário.</w:t>
      </w:r>
    </w:p>
    <w:p w:rsidR="00083AA2" w:rsidRPr="00881021" w:rsidRDefault="00083AA2" w:rsidP="00881021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3"/>
          <w:szCs w:val="23"/>
        </w:rPr>
      </w:pPr>
    </w:p>
    <w:p w:rsidR="00A4441D" w:rsidRPr="00881021" w:rsidRDefault="00A4441D" w:rsidP="00881021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3"/>
          <w:szCs w:val="23"/>
        </w:rPr>
      </w:pPr>
      <w:r w:rsidRPr="00881021">
        <w:rPr>
          <w:rFonts w:ascii="Arial" w:hAnsi="Arial" w:cs="Arial"/>
          <w:sz w:val="23"/>
          <w:szCs w:val="23"/>
        </w:rPr>
        <w:t>Da Secretaria da Câmara Municipal de Vereadores de Guarujá do Sul,</w:t>
      </w:r>
      <w:r w:rsidR="0084730E" w:rsidRPr="00881021">
        <w:rPr>
          <w:rFonts w:ascii="Arial" w:hAnsi="Arial" w:cs="Arial"/>
          <w:sz w:val="23"/>
          <w:szCs w:val="23"/>
        </w:rPr>
        <w:t xml:space="preserve"> Estado de Santa Catarina, em </w:t>
      </w:r>
      <w:r w:rsidR="00881021" w:rsidRPr="00881021">
        <w:rPr>
          <w:rFonts w:ascii="Arial" w:hAnsi="Arial" w:cs="Arial"/>
          <w:sz w:val="23"/>
          <w:szCs w:val="23"/>
        </w:rPr>
        <w:t>15 de dezembro de 2015</w:t>
      </w:r>
      <w:r w:rsidRPr="00881021">
        <w:rPr>
          <w:rFonts w:ascii="Arial" w:hAnsi="Arial" w:cs="Arial"/>
          <w:sz w:val="23"/>
          <w:szCs w:val="23"/>
        </w:rPr>
        <w:t>.</w:t>
      </w:r>
    </w:p>
    <w:p w:rsidR="00A4441D" w:rsidRDefault="00A4441D" w:rsidP="00881021">
      <w:pPr>
        <w:spacing w:after="0" w:line="360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881021">
        <w:rPr>
          <w:rFonts w:ascii="Arial" w:hAnsi="Arial" w:cs="Arial"/>
          <w:sz w:val="23"/>
          <w:szCs w:val="23"/>
        </w:rPr>
        <w:t>Em sua 13ª Legis</w:t>
      </w:r>
      <w:r w:rsidR="00881021" w:rsidRPr="00881021">
        <w:rPr>
          <w:rFonts w:ascii="Arial" w:hAnsi="Arial" w:cs="Arial"/>
          <w:sz w:val="23"/>
          <w:szCs w:val="23"/>
        </w:rPr>
        <w:t>latura, 3ª Sessão Legislativa, 2</w:t>
      </w:r>
      <w:r w:rsidRPr="00881021">
        <w:rPr>
          <w:rFonts w:ascii="Arial" w:hAnsi="Arial" w:cs="Arial"/>
          <w:sz w:val="23"/>
          <w:szCs w:val="23"/>
        </w:rPr>
        <w:t>º período, 52º ano de sua Instalação Legislativa.</w:t>
      </w:r>
    </w:p>
    <w:p w:rsidR="00881021" w:rsidRPr="00881021" w:rsidRDefault="00881021" w:rsidP="00881021">
      <w:pPr>
        <w:spacing w:after="0" w:line="360" w:lineRule="auto"/>
        <w:ind w:firstLine="2268"/>
        <w:jc w:val="both"/>
        <w:rPr>
          <w:rFonts w:ascii="Arial" w:hAnsi="Arial" w:cs="Arial"/>
          <w:sz w:val="23"/>
          <w:szCs w:val="23"/>
        </w:rPr>
      </w:pPr>
    </w:p>
    <w:p w:rsidR="00A4441D" w:rsidRPr="00881021" w:rsidRDefault="00A4441D" w:rsidP="00881021">
      <w:pPr>
        <w:spacing w:after="0" w:line="360" w:lineRule="auto"/>
        <w:rPr>
          <w:rFonts w:ascii="Arial" w:hAnsi="Arial" w:cs="Arial"/>
          <w:sz w:val="23"/>
          <w:szCs w:val="23"/>
        </w:rPr>
      </w:pPr>
    </w:p>
    <w:p w:rsidR="00A4441D" w:rsidRPr="00881021" w:rsidRDefault="00A4441D" w:rsidP="00881021">
      <w:pPr>
        <w:spacing w:after="0" w:line="360" w:lineRule="auto"/>
        <w:contextualSpacing/>
        <w:jc w:val="center"/>
        <w:rPr>
          <w:rFonts w:ascii="Arial" w:hAnsi="Arial" w:cs="Arial"/>
          <w:sz w:val="23"/>
          <w:szCs w:val="23"/>
        </w:rPr>
      </w:pPr>
      <w:r w:rsidRPr="00881021">
        <w:rPr>
          <w:rFonts w:ascii="Arial" w:hAnsi="Arial" w:cs="Arial"/>
          <w:sz w:val="23"/>
          <w:szCs w:val="23"/>
        </w:rPr>
        <w:t xml:space="preserve">ALCIONE ROBERTO STRAUB                               </w:t>
      </w:r>
      <w:r w:rsidR="0084730E" w:rsidRPr="00881021">
        <w:rPr>
          <w:rFonts w:ascii="Arial" w:hAnsi="Arial" w:cs="Arial"/>
          <w:sz w:val="23"/>
          <w:szCs w:val="23"/>
        </w:rPr>
        <w:t xml:space="preserve">                  MÔNICA REGINA</w:t>
      </w:r>
      <w:r w:rsidRPr="00881021">
        <w:rPr>
          <w:rFonts w:ascii="Arial" w:hAnsi="Arial" w:cs="Arial"/>
          <w:sz w:val="23"/>
          <w:szCs w:val="23"/>
        </w:rPr>
        <w:t xml:space="preserve"> TAUBE</w:t>
      </w:r>
    </w:p>
    <w:p w:rsidR="00A4441D" w:rsidRPr="00881021" w:rsidRDefault="00A4441D" w:rsidP="00881021">
      <w:pPr>
        <w:spacing w:after="0" w:line="360" w:lineRule="auto"/>
        <w:jc w:val="center"/>
        <w:rPr>
          <w:rFonts w:ascii="Arial" w:hAnsi="Arial" w:cs="Arial"/>
          <w:sz w:val="23"/>
          <w:szCs w:val="23"/>
        </w:rPr>
      </w:pPr>
      <w:r w:rsidRPr="00881021">
        <w:rPr>
          <w:rFonts w:ascii="Arial" w:hAnsi="Arial" w:cs="Arial"/>
          <w:sz w:val="23"/>
          <w:szCs w:val="23"/>
        </w:rPr>
        <w:t xml:space="preserve">Presidente                                                   </w:t>
      </w:r>
      <w:r w:rsidR="0084730E" w:rsidRPr="00881021">
        <w:rPr>
          <w:rFonts w:ascii="Arial" w:hAnsi="Arial" w:cs="Arial"/>
          <w:sz w:val="23"/>
          <w:szCs w:val="23"/>
        </w:rPr>
        <w:t xml:space="preserve">                              1</w:t>
      </w:r>
      <w:r w:rsidRPr="00881021">
        <w:rPr>
          <w:rFonts w:ascii="Arial" w:hAnsi="Arial" w:cs="Arial"/>
          <w:sz w:val="23"/>
          <w:szCs w:val="23"/>
        </w:rPr>
        <w:t>º Secretária</w:t>
      </w:r>
    </w:p>
    <w:sectPr w:rsidR="00A4441D" w:rsidRPr="00881021" w:rsidSect="00A4441D">
      <w:pgSz w:w="11906" w:h="16838"/>
      <w:pgMar w:top="2268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4441D"/>
    <w:rsid w:val="000600F2"/>
    <w:rsid w:val="00083AA2"/>
    <w:rsid w:val="00355A72"/>
    <w:rsid w:val="00550DB0"/>
    <w:rsid w:val="00610A22"/>
    <w:rsid w:val="00663A37"/>
    <w:rsid w:val="007E4D1D"/>
    <w:rsid w:val="0084730E"/>
    <w:rsid w:val="00881021"/>
    <w:rsid w:val="00901EE7"/>
    <w:rsid w:val="00A4441D"/>
    <w:rsid w:val="00A5557B"/>
    <w:rsid w:val="00BC09F0"/>
    <w:rsid w:val="00C30247"/>
    <w:rsid w:val="00D95375"/>
    <w:rsid w:val="00E21773"/>
    <w:rsid w:val="00EA083D"/>
    <w:rsid w:val="00F77B16"/>
    <w:rsid w:val="00FC5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A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2177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rsid w:val="00083AA2"/>
    <w:pPr>
      <w:spacing w:after="120" w:line="480" w:lineRule="auto"/>
      <w:ind w:left="283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83AA2"/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590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9</cp:revision>
  <cp:lastPrinted>2015-12-15T10:25:00Z</cp:lastPrinted>
  <dcterms:created xsi:type="dcterms:W3CDTF">2015-02-10T11:25:00Z</dcterms:created>
  <dcterms:modified xsi:type="dcterms:W3CDTF">2015-12-15T10:25:00Z</dcterms:modified>
</cp:coreProperties>
</file>