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C5" w:rsidRDefault="00BE7648" w:rsidP="009539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REDAÇÃO FINAL AO </w:t>
      </w:r>
      <w:r w:rsidRPr="00953936">
        <w:rPr>
          <w:rFonts w:ascii="Arial" w:hAnsi="Arial" w:cs="Arial"/>
          <w:b/>
          <w:sz w:val="24"/>
          <w:szCs w:val="24"/>
        </w:rPr>
        <w:t>PROJETO DE LEI</w:t>
      </w:r>
      <w:r w:rsidR="00207546">
        <w:rPr>
          <w:rFonts w:ascii="Arial" w:hAnsi="Arial" w:cs="Arial"/>
          <w:b/>
          <w:sz w:val="24"/>
          <w:szCs w:val="24"/>
        </w:rPr>
        <w:t xml:space="preserve"> n. 31</w:t>
      </w:r>
      <w:r w:rsidR="00466CC5" w:rsidRPr="00953936">
        <w:rPr>
          <w:rFonts w:ascii="Arial" w:hAnsi="Arial" w:cs="Arial"/>
          <w:b/>
          <w:sz w:val="24"/>
          <w:szCs w:val="24"/>
        </w:rPr>
        <w:t>/2016.</w:t>
      </w:r>
    </w:p>
    <w:p w:rsidR="00953936" w:rsidRDefault="00207546" w:rsidP="00953936">
      <w:pPr>
        <w:ind w:left="2124" w:firstLine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Altera o art. 10 e 11 da Lei Municipal nº 1.840/2006 de 29 de setembro de 2006</w:t>
      </w:r>
      <w:r w:rsidR="00466CC5" w:rsidRPr="00953936">
        <w:rPr>
          <w:rFonts w:ascii="Arial" w:hAnsi="Arial" w:cs="Arial"/>
          <w:sz w:val="24"/>
          <w:szCs w:val="24"/>
        </w:rPr>
        <w:t>.</w:t>
      </w:r>
    </w:p>
    <w:p w:rsidR="00953936" w:rsidRDefault="00953936" w:rsidP="0095393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97E22">
        <w:rPr>
          <w:rFonts w:ascii="Arial" w:hAnsi="Arial" w:cs="Arial"/>
          <w:sz w:val="24"/>
          <w:szCs w:val="24"/>
        </w:rPr>
        <w:t>O</w:t>
      </w:r>
      <w:r w:rsidRPr="00C71DEC">
        <w:rPr>
          <w:rFonts w:ascii="Arial" w:hAnsi="Arial" w:cs="Arial"/>
          <w:b/>
          <w:sz w:val="24"/>
          <w:szCs w:val="24"/>
        </w:rPr>
        <w:t xml:space="preserve"> PRESIDENTE </w:t>
      </w:r>
      <w:r>
        <w:rPr>
          <w:rFonts w:ascii="Arial" w:hAnsi="Arial" w:cs="Arial"/>
          <w:sz w:val="24"/>
          <w:szCs w:val="24"/>
        </w:rPr>
        <w:t>da Câmara Municipal d</w:t>
      </w:r>
      <w:r w:rsidRPr="00797E22">
        <w:rPr>
          <w:rFonts w:ascii="Arial" w:hAnsi="Arial" w:cs="Arial"/>
          <w:sz w:val="24"/>
          <w:szCs w:val="24"/>
        </w:rPr>
        <w:t>e Vereadores</w:t>
      </w:r>
      <w:r w:rsidRPr="00C71DEC">
        <w:rPr>
          <w:rFonts w:ascii="Arial" w:hAnsi="Arial" w:cs="Arial"/>
          <w:sz w:val="24"/>
          <w:szCs w:val="24"/>
        </w:rPr>
        <w:t xml:space="preserve"> de Guarujá do Sul, Estado de Santa Catarina, Faz saber a todos os habitantes deste Município que a Câmara</w:t>
      </w:r>
      <w:r w:rsidR="00EF5E7D">
        <w:rPr>
          <w:rFonts w:ascii="Arial" w:hAnsi="Arial" w:cs="Arial"/>
          <w:sz w:val="24"/>
          <w:szCs w:val="24"/>
        </w:rPr>
        <w:t xml:space="preserve"> Municipal de Vereadores, votou e</w:t>
      </w:r>
      <w:r w:rsidRPr="00C71DEC">
        <w:rPr>
          <w:rFonts w:ascii="Arial" w:hAnsi="Arial" w:cs="Arial"/>
          <w:sz w:val="24"/>
          <w:szCs w:val="24"/>
        </w:rPr>
        <w:t xml:space="preserve"> aprovou </w:t>
      </w:r>
      <w:r w:rsidR="00EF5E7D">
        <w:rPr>
          <w:rFonts w:ascii="Arial" w:hAnsi="Arial" w:cs="Arial"/>
          <w:sz w:val="24"/>
          <w:szCs w:val="24"/>
        </w:rPr>
        <w:t>o</w:t>
      </w:r>
      <w:r w:rsidRPr="00C71DEC">
        <w:rPr>
          <w:rFonts w:ascii="Arial" w:hAnsi="Arial" w:cs="Arial"/>
          <w:sz w:val="24"/>
          <w:szCs w:val="24"/>
        </w:rPr>
        <w:t xml:space="preserve"> seguinte </w:t>
      </w:r>
      <w:r w:rsidR="00EF5E7D">
        <w:rPr>
          <w:rFonts w:ascii="Arial" w:hAnsi="Arial" w:cs="Arial"/>
          <w:sz w:val="24"/>
          <w:szCs w:val="24"/>
        </w:rPr>
        <w:t>projeto de l</w:t>
      </w:r>
      <w:r w:rsidRPr="00C71DEC">
        <w:rPr>
          <w:rFonts w:ascii="Arial" w:hAnsi="Arial" w:cs="Arial"/>
          <w:sz w:val="24"/>
          <w:szCs w:val="24"/>
        </w:rPr>
        <w:t>ei:</w:t>
      </w:r>
    </w:p>
    <w:p w:rsidR="00466CC5" w:rsidRDefault="00466CC5" w:rsidP="00953936">
      <w:pPr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 w:rsidRPr="00953936">
        <w:rPr>
          <w:rFonts w:ascii="Arial" w:hAnsi="Arial" w:cs="Arial"/>
          <w:bCs/>
          <w:sz w:val="24"/>
          <w:szCs w:val="24"/>
        </w:rPr>
        <w:tab/>
      </w:r>
      <w:r w:rsidRPr="00953936">
        <w:rPr>
          <w:rFonts w:ascii="Arial" w:hAnsi="Arial" w:cs="Arial"/>
          <w:b/>
          <w:bCs/>
          <w:sz w:val="24"/>
          <w:szCs w:val="24"/>
        </w:rPr>
        <w:tab/>
      </w:r>
      <w:r w:rsidRPr="00953936">
        <w:rPr>
          <w:rFonts w:ascii="Arial" w:hAnsi="Arial" w:cs="Arial"/>
          <w:bCs/>
          <w:sz w:val="24"/>
          <w:szCs w:val="24"/>
        </w:rPr>
        <w:t>Art. 1º</w:t>
      </w:r>
      <w:r w:rsidRPr="00953936">
        <w:rPr>
          <w:rFonts w:ascii="Arial" w:hAnsi="Arial" w:cs="Arial"/>
          <w:b/>
          <w:bCs/>
          <w:sz w:val="24"/>
          <w:szCs w:val="24"/>
        </w:rPr>
        <w:t xml:space="preserve"> </w:t>
      </w:r>
      <w:r w:rsidR="00207546">
        <w:rPr>
          <w:rFonts w:ascii="Arial" w:hAnsi="Arial" w:cs="Arial"/>
          <w:bCs/>
          <w:sz w:val="24"/>
          <w:szCs w:val="24"/>
        </w:rPr>
        <w:t>O art. 10 e 11 da Lei Municipal 1.840/2006, de 29 de setembro de 2006, passa</w:t>
      </w:r>
      <w:r w:rsidR="00EF5E7D">
        <w:rPr>
          <w:rFonts w:ascii="Arial" w:hAnsi="Arial" w:cs="Arial"/>
          <w:bCs/>
          <w:sz w:val="24"/>
          <w:szCs w:val="24"/>
        </w:rPr>
        <w:t>m</w:t>
      </w:r>
      <w:r w:rsidR="00207546">
        <w:rPr>
          <w:rFonts w:ascii="Arial" w:hAnsi="Arial" w:cs="Arial"/>
          <w:bCs/>
          <w:sz w:val="24"/>
          <w:szCs w:val="24"/>
        </w:rPr>
        <w:t xml:space="preserve"> a vigorar com a seguinte redação:</w:t>
      </w:r>
    </w:p>
    <w:p w:rsidR="00207546" w:rsidRDefault="00207546" w:rsidP="00EF5E7D">
      <w:pPr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“Art.10. Caberá ao Conselho Comunitário da Comarca de São José do Cedro a gestão financeira</w:t>
      </w:r>
      <w:r w:rsidR="00953936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dos recursos repassados, responsabilizando-se pelo pagamento as famílias eleitas, emissão de documentos fiscais comprobatórios das despesas, prestação de contas, retenção e pagamento de impostos, ao qual será </w:t>
      </w:r>
      <w:proofErr w:type="gramStart"/>
      <w:r>
        <w:rPr>
          <w:rFonts w:ascii="Arial" w:hAnsi="Arial" w:cs="Arial"/>
          <w:bCs/>
          <w:sz w:val="24"/>
          <w:szCs w:val="24"/>
        </w:rPr>
        <w:t>repassado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mensalmente a quantia de R$ 112,60</w:t>
      </w:r>
      <w:r w:rsidR="00EF5E7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(cento e doze reais e sessenta centavos) para fazer frente às despesas administrativas e de gestão.</w:t>
      </w:r>
    </w:p>
    <w:p w:rsidR="00207546" w:rsidRDefault="00207546" w:rsidP="00953936">
      <w:pPr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Parágrafo Único: Será usado o IGPM – Índice de Preços de Mercado, como indexador para atualização anual</w:t>
      </w:r>
      <w:r w:rsidR="00271836">
        <w:rPr>
          <w:rFonts w:ascii="Arial" w:hAnsi="Arial" w:cs="Arial"/>
          <w:bCs/>
          <w:sz w:val="24"/>
          <w:szCs w:val="24"/>
        </w:rPr>
        <w:t>, tendo como base o</w:t>
      </w:r>
      <w:r w:rsidR="00F72901">
        <w:rPr>
          <w:rFonts w:ascii="Arial" w:hAnsi="Arial" w:cs="Arial"/>
          <w:bCs/>
          <w:sz w:val="24"/>
          <w:szCs w:val="24"/>
        </w:rPr>
        <w:t xml:space="preserve"> IGPM – (FGV) dos </w:t>
      </w:r>
      <w:r w:rsidR="00EF5E7D">
        <w:rPr>
          <w:rFonts w:ascii="Arial" w:hAnsi="Arial" w:cs="Arial"/>
          <w:bCs/>
          <w:sz w:val="24"/>
          <w:szCs w:val="24"/>
        </w:rPr>
        <w:t xml:space="preserve">últimos </w:t>
      </w:r>
      <w:r w:rsidR="00F72901">
        <w:rPr>
          <w:rFonts w:ascii="Arial" w:hAnsi="Arial" w:cs="Arial"/>
          <w:bCs/>
          <w:sz w:val="24"/>
          <w:szCs w:val="24"/>
        </w:rPr>
        <w:t>12 (doze) meses, a partir de novembro de cada ano, e será reajustada sempre em 1º de janeiro de cada ano, salvo quando ocorrer deflação, cas</w:t>
      </w:r>
      <w:r w:rsidR="00DC403F">
        <w:rPr>
          <w:rFonts w:ascii="Arial" w:hAnsi="Arial" w:cs="Arial"/>
          <w:bCs/>
          <w:sz w:val="24"/>
          <w:szCs w:val="24"/>
        </w:rPr>
        <w:t>o em que serão praticados os me</w:t>
      </w:r>
      <w:r w:rsidR="00F72901">
        <w:rPr>
          <w:rFonts w:ascii="Arial" w:hAnsi="Arial" w:cs="Arial"/>
          <w:bCs/>
          <w:sz w:val="24"/>
          <w:szCs w:val="24"/>
        </w:rPr>
        <w:t>s</w:t>
      </w:r>
      <w:r w:rsidR="00DC403F">
        <w:rPr>
          <w:rFonts w:ascii="Arial" w:hAnsi="Arial" w:cs="Arial"/>
          <w:bCs/>
          <w:sz w:val="24"/>
          <w:szCs w:val="24"/>
        </w:rPr>
        <w:t>m</w:t>
      </w:r>
      <w:r w:rsidR="00F72901">
        <w:rPr>
          <w:rFonts w:ascii="Arial" w:hAnsi="Arial" w:cs="Arial"/>
          <w:bCs/>
          <w:sz w:val="24"/>
          <w:szCs w:val="24"/>
        </w:rPr>
        <w:t>o valores do exercício a</w:t>
      </w:r>
      <w:r w:rsidR="00DC403F">
        <w:rPr>
          <w:rFonts w:ascii="Arial" w:hAnsi="Arial" w:cs="Arial"/>
          <w:bCs/>
          <w:sz w:val="24"/>
          <w:szCs w:val="24"/>
        </w:rPr>
        <w:t>nterior. Em caso de exclusão do Índice</w:t>
      </w:r>
      <w:bookmarkStart w:id="0" w:name="_GoBack"/>
      <w:bookmarkEnd w:id="0"/>
      <w:r w:rsidR="00F72901">
        <w:rPr>
          <w:rFonts w:ascii="Arial" w:hAnsi="Arial" w:cs="Arial"/>
          <w:bCs/>
          <w:sz w:val="24"/>
          <w:szCs w:val="24"/>
        </w:rPr>
        <w:t xml:space="preserve"> referido neste artigo, o reajuste se dará por outro que venha a substituí-lo.</w:t>
      </w:r>
    </w:p>
    <w:p w:rsidR="00D96D6B" w:rsidRDefault="00953936" w:rsidP="00953936">
      <w:pPr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501B10">
        <w:rPr>
          <w:rFonts w:ascii="Arial" w:hAnsi="Arial" w:cs="Arial"/>
          <w:bCs/>
          <w:sz w:val="24"/>
          <w:szCs w:val="24"/>
        </w:rPr>
        <w:t xml:space="preserve">   </w:t>
      </w:r>
      <w:r w:rsidR="00D96D6B">
        <w:rPr>
          <w:rFonts w:ascii="Arial" w:hAnsi="Arial" w:cs="Arial"/>
          <w:bCs/>
          <w:sz w:val="24"/>
          <w:szCs w:val="24"/>
        </w:rPr>
        <w:tab/>
      </w:r>
      <w:r w:rsidR="00F72901">
        <w:rPr>
          <w:rFonts w:ascii="Arial" w:hAnsi="Arial" w:cs="Arial"/>
          <w:bCs/>
          <w:sz w:val="24"/>
          <w:szCs w:val="24"/>
        </w:rPr>
        <w:t>Art. 11</w:t>
      </w:r>
      <w:r w:rsidR="00635981" w:rsidRPr="00953936">
        <w:rPr>
          <w:rFonts w:ascii="Arial" w:hAnsi="Arial" w:cs="Arial"/>
          <w:bCs/>
          <w:sz w:val="24"/>
          <w:szCs w:val="24"/>
        </w:rPr>
        <w:t xml:space="preserve">º </w:t>
      </w:r>
      <w:r w:rsidR="00F72901">
        <w:rPr>
          <w:rFonts w:ascii="Arial" w:hAnsi="Arial" w:cs="Arial"/>
          <w:bCs/>
          <w:sz w:val="24"/>
          <w:szCs w:val="24"/>
        </w:rPr>
        <w:t>A despesa, na forma de serviço de que tratam os artigos 9º e 10, legitimada pelo art.</w:t>
      </w:r>
      <w:r w:rsidR="00EF5E7D">
        <w:rPr>
          <w:rFonts w:ascii="Arial" w:hAnsi="Arial" w:cs="Arial"/>
          <w:bCs/>
          <w:sz w:val="24"/>
          <w:szCs w:val="24"/>
        </w:rPr>
        <w:t xml:space="preserve"> </w:t>
      </w:r>
      <w:r w:rsidR="00F72901">
        <w:rPr>
          <w:rFonts w:ascii="Arial" w:hAnsi="Arial" w:cs="Arial"/>
          <w:bCs/>
          <w:sz w:val="24"/>
          <w:szCs w:val="24"/>
        </w:rPr>
        <w:t xml:space="preserve">206, inciso 2º </w:t>
      </w:r>
      <w:proofErr w:type="gramStart"/>
      <w:r w:rsidR="00F72901">
        <w:rPr>
          <w:rFonts w:ascii="Arial" w:hAnsi="Arial" w:cs="Arial"/>
          <w:bCs/>
          <w:sz w:val="24"/>
          <w:szCs w:val="24"/>
        </w:rPr>
        <w:t>do ECA</w:t>
      </w:r>
      <w:proofErr w:type="gramEnd"/>
      <w:r w:rsidR="00F72901">
        <w:rPr>
          <w:rFonts w:ascii="Arial" w:hAnsi="Arial" w:cs="Arial"/>
          <w:bCs/>
          <w:sz w:val="24"/>
          <w:szCs w:val="24"/>
        </w:rPr>
        <w:t>, fica autorizada e será suportada pela seguinte dotação orçamentaria consignada no orçamento do Fundo Municipal de Assistência Social.”</w:t>
      </w:r>
    </w:p>
    <w:p w:rsidR="00635981" w:rsidRDefault="00EF5E7D" w:rsidP="00EF5E7D">
      <w:pPr>
        <w:shd w:val="clear" w:color="auto" w:fill="FFFFFF" w:themeFill="background1"/>
        <w:tabs>
          <w:tab w:val="left" w:pos="0"/>
        </w:tabs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2</w:t>
      </w:r>
      <w:r w:rsidR="00635981" w:rsidRPr="00953936">
        <w:rPr>
          <w:rFonts w:ascii="Arial" w:hAnsi="Arial" w:cs="Arial"/>
          <w:bCs/>
          <w:sz w:val="24"/>
          <w:szCs w:val="24"/>
        </w:rPr>
        <w:t>º</w:t>
      </w:r>
      <w:r w:rsidR="00466CC5" w:rsidRPr="00953936">
        <w:rPr>
          <w:rFonts w:ascii="Arial" w:hAnsi="Arial" w:cs="Arial"/>
          <w:bCs/>
          <w:sz w:val="24"/>
          <w:szCs w:val="24"/>
        </w:rPr>
        <w:tab/>
      </w:r>
      <w:r w:rsidR="00635981" w:rsidRPr="00953936">
        <w:rPr>
          <w:rFonts w:ascii="Arial" w:hAnsi="Arial" w:cs="Arial"/>
          <w:bCs/>
          <w:sz w:val="24"/>
          <w:szCs w:val="24"/>
        </w:rPr>
        <w:t xml:space="preserve"> Esta Lei entra em vigor na data de sua publicação.</w:t>
      </w:r>
    </w:p>
    <w:p w:rsidR="00635981" w:rsidRPr="00953936" w:rsidRDefault="00635981" w:rsidP="00953936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53936">
        <w:rPr>
          <w:rFonts w:ascii="Arial" w:hAnsi="Arial" w:cs="Arial"/>
          <w:sz w:val="24"/>
          <w:szCs w:val="24"/>
        </w:rPr>
        <w:t>Da Secretaria da Câmara Municipal de Vereadores de Guarujá do Sul, Estado de Santa Catarina, aos</w:t>
      </w:r>
      <w:r w:rsidR="008A4686" w:rsidRPr="00953936">
        <w:rPr>
          <w:rFonts w:ascii="Arial" w:hAnsi="Arial" w:cs="Arial"/>
          <w:sz w:val="24"/>
          <w:szCs w:val="24"/>
        </w:rPr>
        <w:t xml:space="preserve"> </w:t>
      </w:r>
      <w:r w:rsidR="00EF5E7D">
        <w:rPr>
          <w:rFonts w:ascii="Arial" w:hAnsi="Arial" w:cs="Arial"/>
          <w:sz w:val="24"/>
          <w:szCs w:val="24"/>
        </w:rPr>
        <w:t>06</w:t>
      </w:r>
      <w:r w:rsidRPr="00953936">
        <w:rPr>
          <w:rFonts w:ascii="Arial" w:hAnsi="Arial" w:cs="Arial"/>
          <w:sz w:val="24"/>
          <w:szCs w:val="24"/>
        </w:rPr>
        <w:t xml:space="preserve"> dias do mês de</w:t>
      </w:r>
      <w:r w:rsidR="008A4686" w:rsidRPr="00953936">
        <w:rPr>
          <w:rFonts w:ascii="Arial" w:hAnsi="Arial" w:cs="Arial"/>
          <w:sz w:val="24"/>
          <w:szCs w:val="24"/>
        </w:rPr>
        <w:t xml:space="preserve"> </w:t>
      </w:r>
      <w:r w:rsidR="00EF5E7D">
        <w:rPr>
          <w:rFonts w:ascii="Arial" w:hAnsi="Arial" w:cs="Arial"/>
          <w:sz w:val="24"/>
          <w:szCs w:val="24"/>
        </w:rPr>
        <w:t>setembro</w:t>
      </w:r>
      <w:r w:rsidR="008A4686" w:rsidRPr="00953936">
        <w:rPr>
          <w:rFonts w:ascii="Arial" w:hAnsi="Arial" w:cs="Arial"/>
          <w:sz w:val="24"/>
          <w:szCs w:val="24"/>
        </w:rPr>
        <w:t xml:space="preserve"> </w:t>
      </w:r>
      <w:r w:rsidRPr="00953936">
        <w:rPr>
          <w:rFonts w:ascii="Arial" w:hAnsi="Arial" w:cs="Arial"/>
          <w:sz w:val="24"/>
          <w:szCs w:val="24"/>
        </w:rPr>
        <w:t>de 2016.</w:t>
      </w:r>
    </w:p>
    <w:p w:rsidR="00635981" w:rsidRPr="00953936" w:rsidRDefault="00635981" w:rsidP="00953936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53936">
        <w:rPr>
          <w:rFonts w:ascii="Arial" w:hAnsi="Arial" w:cs="Arial"/>
          <w:sz w:val="24"/>
          <w:szCs w:val="24"/>
        </w:rPr>
        <w:t>Em sua 13ª Legis</w:t>
      </w:r>
      <w:r w:rsidR="00D96D6B">
        <w:rPr>
          <w:rFonts w:ascii="Arial" w:hAnsi="Arial" w:cs="Arial"/>
          <w:sz w:val="24"/>
          <w:szCs w:val="24"/>
        </w:rPr>
        <w:t>latura, 4ª Sessão Legislativa, 2</w:t>
      </w:r>
      <w:r w:rsidRPr="00953936">
        <w:rPr>
          <w:rFonts w:ascii="Arial" w:hAnsi="Arial" w:cs="Arial"/>
          <w:sz w:val="24"/>
          <w:szCs w:val="24"/>
        </w:rPr>
        <w:t xml:space="preserve">º período, 53º ano de sua Instalação Legislativa. </w:t>
      </w:r>
    </w:p>
    <w:p w:rsidR="00635981" w:rsidRPr="00953936" w:rsidRDefault="00635981" w:rsidP="00953936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635981" w:rsidRPr="00953936" w:rsidTr="00635981">
        <w:tc>
          <w:tcPr>
            <w:tcW w:w="3794" w:type="dxa"/>
            <w:hideMark/>
          </w:tcPr>
          <w:p w:rsidR="00635981" w:rsidRPr="00953936" w:rsidRDefault="00EF5E7D" w:rsidP="0095393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Rodrigo Bremm</w:t>
            </w:r>
          </w:p>
        </w:tc>
        <w:tc>
          <w:tcPr>
            <w:tcW w:w="1134" w:type="dxa"/>
          </w:tcPr>
          <w:p w:rsidR="00635981" w:rsidRPr="00953936" w:rsidRDefault="00635981" w:rsidP="0095393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35981" w:rsidRPr="00953936" w:rsidRDefault="00EF5E7D" w:rsidP="0095393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Iria Rohenkohl</w:t>
            </w:r>
            <w:r w:rsidR="00635981" w:rsidRPr="0095393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Taube</w:t>
            </w:r>
          </w:p>
        </w:tc>
      </w:tr>
      <w:tr w:rsidR="00635981" w:rsidRPr="00953936" w:rsidTr="00635981">
        <w:tc>
          <w:tcPr>
            <w:tcW w:w="3794" w:type="dxa"/>
            <w:hideMark/>
          </w:tcPr>
          <w:p w:rsidR="00635981" w:rsidRPr="00953936" w:rsidRDefault="00635981" w:rsidP="0095393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53936">
              <w:rPr>
                <w:rFonts w:ascii="Arial" w:hAnsi="Arial" w:cs="Arial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35981" w:rsidRPr="00953936" w:rsidRDefault="00635981" w:rsidP="0095393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35981" w:rsidRPr="00953936" w:rsidRDefault="00635981" w:rsidP="0095393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53936">
              <w:rPr>
                <w:rFonts w:ascii="Arial" w:hAnsi="Arial" w:cs="Arial"/>
                <w:sz w:val="24"/>
                <w:szCs w:val="24"/>
                <w:lang w:eastAsia="pt-BR"/>
              </w:rPr>
              <w:t>1ª Secretária</w:t>
            </w:r>
          </w:p>
        </w:tc>
      </w:tr>
      <w:tr w:rsidR="00635981" w:rsidRPr="00953936" w:rsidTr="00635981">
        <w:tc>
          <w:tcPr>
            <w:tcW w:w="3794" w:type="dxa"/>
          </w:tcPr>
          <w:p w:rsidR="00635981" w:rsidRPr="00953936" w:rsidRDefault="00635981" w:rsidP="009539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635981" w:rsidRPr="00953936" w:rsidRDefault="00635981" w:rsidP="009539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</w:tcPr>
          <w:p w:rsidR="00635981" w:rsidRPr="00953936" w:rsidRDefault="00635981" w:rsidP="009539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35981" w:rsidRPr="00953936" w:rsidTr="00635981">
        <w:tc>
          <w:tcPr>
            <w:tcW w:w="3794" w:type="dxa"/>
          </w:tcPr>
          <w:p w:rsidR="00635981" w:rsidRPr="00953936" w:rsidRDefault="00635981" w:rsidP="009539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635981" w:rsidRPr="00953936" w:rsidRDefault="00635981" w:rsidP="009539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</w:tcPr>
          <w:p w:rsidR="00635981" w:rsidRPr="00953936" w:rsidRDefault="00635981" w:rsidP="009539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35981" w:rsidRPr="00953936" w:rsidTr="00635981">
        <w:tc>
          <w:tcPr>
            <w:tcW w:w="3794" w:type="dxa"/>
          </w:tcPr>
          <w:p w:rsidR="00635981" w:rsidRPr="00953936" w:rsidRDefault="00635981" w:rsidP="009539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635981" w:rsidRPr="00953936" w:rsidRDefault="00635981" w:rsidP="009539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</w:tcPr>
          <w:p w:rsidR="00635981" w:rsidRPr="00953936" w:rsidRDefault="00635981" w:rsidP="009539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466CC5" w:rsidRPr="00953936" w:rsidRDefault="00466CC5" w:rsidP="00635981">
      <w:pPr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 w:rsidRPr="00953936">
        <w:rPr>
          <w:rFonts w:ascii="Arial" w:hAnsi="Arial" w:cs="Arial"/>
          <w:bCs/>
          <w:sz w:val="24"/>
          <w:szCs w:val="24"/>
        </w:rPr>
        <w:t xml:space="preserve">                            </w:t>
      </w:r>
    </w:p>
    <w:p w:rsidR="00466CC5" w:rsidRPr="00953936" w:rsidRDefault="00466CC5" w:rsidP="00635981">
      <w:pPr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</w:p>
    <w:p w:rsidR="00466CC5" w:rsidRPr="00953936" w:rsidRDefault="00466CC5" w:rsidP="00635981">
      <w:pPr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800854" w:rsidRPr="00953936" w:rsidRDefault="00800854" w:rsidP="00635981">
      <w:pPr>
        <w:jc w:val="both"/>
        <w:rPr>
          <w:rFonts w:ascii="Arial" w:hAnsi="Arial" w:cs="Arial"/>
          <w:sz w:val="24"/>
          <w:szCs w:val="24"/>
        </w:rPr>
      </w:pPr>
    </w:p>
    <w:p w:rsidR="00501B10" w:rsidRPr="00953936" w:rsidRDefault="00501B10">
      <w:pPr>
        <w:jc w:val="both"/>
        <w:rPr>
          <w:rFonts w:ascii="Arial" w:hAnsi="Arial" w:cs="Arial"/>
          <w:sz w:val="24"/>
          <w:szCs w:val="24"/>
        </w:rPr>
      </w:pPr>
    </w:p>
    <w:sectPr w:rsidR="00501B10" w:rsidRPr="00953936" w:rsidSect="00501B10">
      <w:pgSz w:w="11906" w:h="16838"/>
      <w:pgMar w:top="22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6CC5"/>
    <w:rsid w:val="00207546"/>
    <w:rsid w:val="00271836"/>
    <w:rsid w:val="0030071F"/>
    <w:rsid w:val="00466CC5"/>
    <w:rsid w:val="00501B10"/>
    <w:rsid w:val="005B113F"/>
    <w:rsid w:val="005F465C"/>
    <w:rsid w:val="00635981"/>
    <w:rsid w:val="00800854"/>
    <w:rsid w:val="008A4686"/>
    <w:rsid w:val="00953936"/>
    <w:rsid w:val="00BA76B1"/>
    <w:rsid w:val="00BE7648"/>
    <w:rsid w:val="00C965B8"/>
    <w:rsid w:val="00D96D6B"/>
    <w:rsid w:val="00DC403F"/>
    <w:rsid w:val="00DE0089"/>
    <w:rsid w:val="00EF5E7D"/>
    <w:rsid w:val="00F7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598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598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w</cp:lastModifiedBy>
  <cp:revision>12</cp:revision>
  <cp:lastPrinted>2016-09-06T10:41:00Z</cp:lastPrinted>
  <dcterms:created xsi:type="dcterms:W3CDTF">2016-03-07T10:50:00Z</dcterms:created>
  <dcterms:modified xsi:type="dcterms:W3CDTF">2016-09-06T10:42:00Z</dcterms:modified>
</cp:coreProperties>
</file>