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A2" w:rsidRPr="00852C36" w:rsidRDefault="00852C36" w:rsidP="00EE0FE7">
      <w:pPr>
        <w:spacing w:line="276" w:lineRule="auto"/>
        <w:ind w:left="1416" w:hanging="1416"/>
        <w:jc w:val="both"/>
        <w:rPr>
          <w:b/>
          <w:bCs/>
        </w:rPr>
      </w:pPr>
      <w:r>
        <w:rPr>
          <w:b/>
          <w:bCs/>
        </w:rPr>
        <w:t xml:space="preserve">REDAÇÃO FINAL AO </w:t>
      </w:r>
      <w:r w:rsidRPr="00852C36">
        <w:rPr>
          <w:b/>
          <w:bCs/>
        </w:rPr>
        <w:t>PROJETO LEI Nº 43 /2018</w:t>
      </w:r>
    </w:p>
    <w:p w:rsidR="00151CA2" w:rsidRPr="00852C36" w:rsidRDefault="00151CA2" w:rsidP="00EE0FE7">
      <w:pPr>
        <w:spacing w:line="276" w:lineRule="auto"/>
        <w:ind w:left="1416" w:hanging="1416"/>
        <w:jc w:val="both"/>
        <w:rPr>
          <w:b/>
          <w:bCs/>
        </w:rPr>
      </w:pPr>
    </w:p>
    <w:p w:rsidR="00151CA2" w:rsidRPr="00852C36" w:rsidRDefault="00151CA2" w:rsidP="00EE0FE7">
      <w:pPr>
        <w:spacing w:line="276" w:lineRule="auto"/>
        <w:ind w:left="1416" w:hanging="1416"/>
        <w:jc w:val="both"/>
        <w:rPr>
          <w:b/>
          <w:bCs/>
        </w:rPr>
      </w:pPr>
    </w:p>
    <w:p w:rsidR="00151CA2" w:rsidRPr="00852C36" w:rsidRDefault="00852C36" w:rsidP="00EE0FE7">
      <w:pPr>
        <w:spacing w:line="276" w:lineRule="auto"/>
        <w:ind w:left="3540"/>
        <w:jc w:val="both"/>
      </w:pPr>
      <w:r w:rsidRPr="00852C36">
        <w:rPr>
          <w:b/>
        </w:rPr>
        <w:t>APROVA PLANO DE LOTEAMENTO E AUTORIZAÇÃO PARA CONCES</w:t>
      </w:r>
      <w:r w:rsidR="00EE0FE7">
        <w:rPr>
          <w:b/>
        </w:rPr>
        <w:t>SÃO DE LICENÇA DA OUTRAS PROVIDÊ</w:t>
      </w:r>
      <w:r w:rsidRPr="00852C36">
        <w:rPr>
          <w:b/>
        </w:rPr>
        <w:t>NCIAS.</w:t>
      </w:r>
    </w:p>
    <w:p w:rsidR="00151CA2" w:rsidRPr="00852C36" w:rsidRDefault="00151CA2" w:rsidP="00EE0FE7">
      <w:pPr>
        <w:spacing w:line="276" w:lineRule="auto"/>
        <w:ind w:firstLine="3600"/>
        <w:jc w:val="both"/>
      </w:pPr>
    </w:p>
    <w:p w:rsidR="00151CA2" w:rsidRPr="00852C36" w:rsidRDefault="00151CA2" w:rsidP="00EE0FE7">
      <w:pPr>
        <w:spacing w:line="276" w:lineRule="auto"/>
        <w:ind w:firstLine="3600"/>
        <w:jc w:val="both"/>
      </w:pPr>
    </w:p>
    <w:p w:rsidR="00852C36" w:rsidRPr="00852C36" w:rsidRDefault="00852C36" w:rsidP="00EE0FE7">
      <w:pPr>
        <w:spacing w:line="276" w:lineRule="auto"/>
        <w:ind w:firstLine="708"/>
        <w:jc w:val="both"/>
        <w:rPr>
          <w:rFonts w:eastAsia="Times New Roman"/>
        </w:rPr>
      </w:pPr>
      <w:r w:rsidRPr="00852C36"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151CA2" w:rsidRPr="00852C36" w:rsidRDefault="00151CA2" w:rsidP="00EE0FE7">
      <w:pPr>
        <w:pStyle w:val="Recuodecorpodetexto2"/>
        <w:spacing w:after="0" w:line="276" w:lineRule="auto"/>
        <w:ind w:left="0" w:firstLine="708"/>
        <w:jc w:val="both"/>
      </w:pPr>
      <w:r w:rsidRPr="00852C36">
        <w:t xml:space="preserve">Art. 1º Fica aprovado o Loteamento denominado “LOTEAMENTO GNOATTO”, a ser executado sobre a </w:t>
      </w:r>
      <w:r w:rsidR="00EE0FE7">
        <w:rPr>
          <w:b/>
        </w:rPr>
        <w:t>chácara nº</w:t>
      </w:r>
      <w:r w:rsidRPr="00852C36">
        <w:rPr>
          <w:b/>
        </w:rPr>
        <w:t xml:space="preserve"> 32, com área de 43.350,17m² e a parte da chácara nº 31, com área de 3.859,82m², totalizando uma área de 47.209,99m²</w:t>
      </w:r>
      <w:r w:rsidRPr="00852C36">
        <w:t xml:space="preserve"> da Matricula </w:t>
      </w:r>
      <w:r w:rsidRPr="00852C36">
        <w:rPr>
          <w:b/>
        </w:rPr>
        <w:t>14.343</w:t>
      </w:r>
      <w:r w:rsidRPr="00852C36">
        <w:t xml:space="preserve">, do Oficio de Registro de Imóveis, Comarca de São José do Cedro, situado no perímetro urbano de Guarujá do Sul, com uma casa residencial mista com área de 74,14m², confrontando: confrontações: </w:t>
      </w:r>
      <w:r w:rsidRPr="00852C36">
        <w:rPr>
          <w:color w:val="000000"/>
        </w:rPr>
        <w:t xml:space="preserve">ao </w:t>
      </w:r>
      <w:r w:rsidRPr="00852C36">
        <w:rPr>
          <w:b/>
          <w:color w:val="000000"/>
        </w:rPr>
        <w:t>NORDESTE</w:t>
      </w:r>
      <w:r w:rsidRPr="00852C36">
        <w:rPr>
          <w:color w:val="000000"/>
        </w:rPr>
        <w:t xml:space="preserve">, com parte da chácara nº31 (matricula 5.584), de propriedade de Hélio Dupont, por linha seca; ao </w:t>
      </w:r>
      <w:r w:rsidRPr="00852C36">
        <w:rPr>
          <w:b/>
          <w:color w:val="000000"/>
        </w:rPr>
        <w:t>NOROESTE</w:t>
      </w:r>
      <w:r w:rsidRPr="00852C36">
        <w:rPr>
          <w:color w:val="000000"/>
        </w:rPr>
        <w:t xml:space="preserve">, com parte da chácara nº31 (matricula 5.584), de propriedade de Hélio Dupont, por linha seca; novamente ao </w:t>
      </w:r>
      <w:r w:rsidRPr="00852C36">
        <w:rPr>
          <w:b/>
          <w:color w:val="000000"/>
        </w:rPr>
        <w:t>NORDESTE</w:t>
      </w:r>
      <w:r w:rsidRPr="00852C36">
        <w:rPr>
          <w:color w:val="000000"/>
        </w:rPr>
        <w:t xml:space="preserve">, com parte da chácara nº31 (matricula 5.584), de propriedade de Hélio Dupont, por linha seca; ao </w:t>
      </w:r>
      <w:r w:rsidRPr="00852C36">
        <w:rPr>
          <w:b/>
          <w:color w:val="000000"/>
        </w:rPr>
        <w:t>SUDESTE</w:t>
      </w:r>
      <w:r w:rsidRPr="00852C36">
        <w:rPr>
          <w:color w:val="000000"/>
        </w:rPr>
        <w:t xml:space="preserve">, com parte da chácara nº31 (matricula 5.584), de propriedade de Hélio Dupont, por linha seca; novamente ao </w:t>
      </w:r>
      <w:r w:rsidRPr="00852C36">
        <w:rPr>
          <w:b/>
          <w:color w:val="000000"/>
        </w:rPr>
        <w:t>NORDESTE</w:t>
      </w:r>
      <w:r w:rsidRPr="00852C36">
        <w:rPr>
          <w:color w:val="000000"/>
        </w:rPr>
        <w:t xml:space="preserve">, com parte da chácara nº31 (matricula 5.584), de propriedade de Hélio Dupont, por linha seca; novamente ao </w:t>
      </w:r>
      <w:r w:rsidRPr="00852C36">
        <w:rPr>
          <w:b/>
          <w:color w:val="000000"/>
        </w:rPr>
        <w:t>NOROESTE</w:t>
      </w:r>
      <w:r w:rsidRPr="00852C36">
        <w:rPr>
          <w:color w:val="000000"/>
        </w:rPr>
        <w:t xml:space="preserve">, com parte da chácara nº31 (matricula 5.584), de propriedade de Hélio Dupont, por linha seca; novamente ao </w:t>
      </w:r>
      <w:r w:rsidRPr="00852C36">
        <w:rPr>
          <w:b/>
          <w:color w:val="000000"/>
        </w:rPr>
        <w:t>NORDESTE</w:t>
      </w:r>
      <w:r w:rsidRPr="00852C36">
        <w:rPr>
          <w:color w:val="000000"/>
        </w:rPr>
        <w:t xml:space="preserve">, com parte da chácara nº31 (matricula 5.584), de propriedade de Hélio Dupont, por linha seca; novamente ao </w:t>
      </w:r>
      <w:r w:rsidRPr="00852C36">
        <w:rPr>
          <w:b/>
          <w:color w:val="000000"/>
        </w:rPr>
        <w:t>SUDESTE</w:t>
      </w:r>
      <w:r w:rsidRPr="00852C36">
        <w:rPr>
          <w:color w:val="000000"/>
        </w:rPr>
        <w:t xml:space="preserve">, com partes da chácara nº 40 (matricula 11.870 e 11.872), de propriedade de Moacir Luiz Straub, por linha seca; ao </w:t>
      </w:r>
      <w:r w:rsidRPr="00852C36">
        <w:rPr>
          <w:b/>
          <w:color w:val="000000"/>
        </w:rPr>
        <w:t>SUDOESTE</w:t>
      </w:r>
      <w:r w:rsidRPr="00852C36">
        <w:rPr>
          <w:color w:val="000000"/>
        </w:rPr>
        <w:t xml:space="preserve">, com a chácara n°33 (matrícula 4.214), de propriedade de Miguel Taube e outros, por linha seca; e novamente ao </w:t>
      </w:r>
      <w:r w:rsidRPr="00852C36">
        <w:rPr>
          <w:b/>
          <w:color w:val="000000"/>
        </w:rPr>
        <w:t>NOROESTE</w:t>
      </w:r>
      <w:r w:rsidRPr="00852C36">
        <w:rPr>
          <w:color w:val="000000"/>
        </w:rPr>
        <w:t xml:space="preserve">, com parte do lote rural n°25(matrícula 6.812), anteriormente com terras de José Callegari, atualmente de propriedade de Maria </w:t>
      </w:r>
      <w:proofErr w:type="spellStart"/>
      <w:r w:rsidRPr="00852C36">
        <w:rPr>
          <w:color w:val="000000"/>
        </w:rPr>
        <w:t>Ciria</w:t>
      </w:r>
      <w:proofErr w:type="spellEnd"/>
      <w:r w:rsidRPr="00852C36">
        <w:rPr>
          <w:color w:val="000000"/>
        </w:rPr>
        <w:t xml:space="preserve"> </w:t>
      </w:r>
      <w:proofErr w:type="spellStart"/>
      <w:r w:rsidRPr="00852C36">
        <w:rPr>
          <w:color w:val="000000"/>
        </w:rPr>
        <w:t>Biasibetti</w:t>
      </w:r>
      <w:proofErr w:type="spellEnd"/>
      <w:r w:rsidRPr="00852C36">
        <w:rPr>
          <w:color w:val="000000"/>
        </w:rPr>
        <w:t xml:space="preserve"> e outros, por travessão</w:t>
      </w:r>
      <w:r w:rsidRPr="00852C36">
        <w:t>, fechando assim o perímetro</w:t>
      </w:r>
      <w:proofErr w:type="gramStart"/>
      <w:r w:rsidRPr="00852C36">
        <w:t>..</w:t>
      </w:r>
      <w:proofErr w:type="gramEnd"/>
    </w:p>
    <w:p w:rsidR="00151CA2" w:rsidRPr="00852C36" w:rsidRDefault="00151CA2" w:rsidP="00EE0FE7">
      <w:pPr>
        <w:pStyle w:val="Recuodecorpodetexto2"/>
        <w:spacing w:after="0" w:line="276" w:lineRule="auto"/>
        <w:ind w:left="0" w:firstLine="708"/>
        <w:jc w:val="both"/>
      </w:pPr>
      <w:r w:rsidRPr="00852C36">
        <w:t xml:space="preserve">§ 1º O loteamento possui área total de 47.209,99m² (Quarenta e sete mil e duzentos e nove metros e noventa e nove decímetros quadrados), dos quais 16.237,15m², ou 34,39%, destinam-se para arruamentos; 3.251,50m², ou 6,89%, para área verde; 994,50m², ou 2,11%, para uso institucional, perfazendo um total de 20.483,15m² de área pública que corresponde a 43,39% da área total e o restante 26.726,84 para lotes </w:t>
      </w:r>
      <w:proofErr w:type="gramStart"/>
      <w:r w:rsidRPr="00852C36">
        <w:t>edificáveis</w:t>
      </w:r>
      <w:proofErr w:type="gramEnd"/>
      <w:r w:rsidRPr="00852C36">
        <w:t>, num total de 80 lotes, que corresponde a 56,61%.</w:t>
      </w:r>
    </w:p>
    <w:p w:rsidR="00151CA2" w:rsidRPr="00852C36" w:rsidRDefault="00151CA2" w:rsidP="00EE0FE7">
      <w:pPr>
        <w:pStyle w:val="Recuodecorpodetexto2"/>
        <w:spacing w:after="0" w:line="276" w:lineRule="auto"/>
        <w:ind w:left="0" w:firstLine="708"/>
        <w:jc w:val="both"/>
      </w:pPr>
      <w:r w:rsidRPr="00852C36">
        <w:lastRenderedPageBreak/>
        <w:t>§ 2º A subdivisão da área resultara em 06 quadras numeradas de 01 a 06, e em um total geral de 83 lotes, numerados de 1 a 83, sendo 80 lotes vendáveis, 02 lotes destinados à área verde e 01 lote de área institucional.</w:t>
      </w:r>
    </w:p>
    <w:p w:rsidR="00151CA2" w:rsidRPr="00852C36" w:rsidRDefault="00151CA2" w:rsidP="00EE0FE7">
      <w:pPr>
        <w:pStyle w:val="Recuodecorpodetexto2"/>
        <w:spacing w:after="0" w:line="276" w:lineRule="auto"/>
        <w:ind w:left="0" w:firstLine="708"/>
        <w:jc w:val="both"/>
      </w:pPr>
      <w:r w:rsidRPr="00852C36">
        <w:t xml:space="preserve">§ 3º A área loteada situa-se na ZR </w:t>
      </w:r>
      <w:proofErr w:type="gramStart"/>
      <w:r w:rsidRPr="00852C36">
        <w:t>5</w:t>
      </w:r>
      <w:proofErr w:type="gramEnd"/>
      <w:r w:rsidRPr="00852C36">
        <w:t xml:space="preserve"> (zona residencial 5) da cidade de Guarujá do Sul,  e terá os usos previstos para aquela região, conforme o plano diretor do município.</w:t>
      </w:r>
    </w:p>
    <w:p w:rsidR="00151CA2" w:rsidRPr="00852C36" w:rsidRDefault="00151CA2" w:rsidP="00EE0FE7">
      <w:pPr>
        <w:pStyle w:val="Recuodecorpodetexto2"/>
        <w:spacing w:after="0" w:line="276" w:lineRule="auto"/>
        <w:ind w:left="0" w:firstLine="708"/>
        <w:jc w:val="both"/>
      </w:pPr>
      <w:r w:rsidRPr="00852C36">
        <w:t xml:space="preserve">Art. 2º O presente loteamento é interceptado pelo prolongamento da Antônio Bavaresco, Nelci </w:t>
      </w:r>
      <w:proofErr w:type="spellStart"/>
      <w:r w:rsidRPr="00852C36">
        <w:t>Fener</w:t>
      </w:r>
      <w:proofErr w:type="spellEnd"/>
      <w:r w:rsidRPr="00852C36">
        <w:t xml:space="preserve"> Dupont, Rua Doutor Timóteo </w:t>
      </w:r>
      <w:proofErr w:type="spellStart"/>
      <w:r w:rsidRPr="00852C36">
        <w:t>Dávila</w:t>
      </w:r>
      <w:proofErr w:type="spellEnd"/>
      <w:r w:rsidRPr="00852C36">
        <w:t xml:space="preserve"> Pereira, ambas com seção transversal </w:t>
      </w:r>
      <w:r w:rsidR="00EE0FE7">
        <w:t xml:space="preserve">mínima de 15 metros </w:t>
      </w:r>
      <w:r w:rsidRPr="00852C36">
        <w:t xml:space="preserve">que farão parte do referido loteamento. E pelo prolongamento da Rua </w:t>
      </w:r>
      <w:proofErr w:type="gramStart"/>
      <w:r w:rsidRPr="00852C36">
        <w:t>Maranhão e Rua Bela Vista</w:t>
      </w:r>
      <w:proofErr w:type="gramEnd"/>
      <w:r w:rsidRPr="00852C36">
        <w:t xml:space="preserve">, ambas com seção transversal mínima de 7,50 metros por se tratar de ruas nas divisas das chácaras.  Além das presentes ruas oficiais, fica criada mais três com a seguinte denominação: Rua Doutor Timóteo </w:t>
      </w:r>
      <w:proofErr w:type="spellStart"/>
      <w:r w:rsidRPr="00852C36">
        <w:t>Dávila</w:t>
      </w:r>
      <w:proofErr w:type="spellEnd"/>
      <w:r w:rsidRPr="00852C36">
        <w:t xml:space="preserve"> Pereira e Rua Jacob Ignácio </w:t>
      </w:r>
      <w:proofErr w:type="spellStart"/>
      <w:r w:rsidRPr="00852C36">
        <w:t>Kunzler</w:t>
      </w:r>
      <w:proofErr w:type="spellEnd"/>
      <w:r w:rsidRPr="00852C36">
        <w:t>, ambas com seção transversal mínima de 15 metros, que farão parte do referido loteamento.</w:t>
      </w:r>
    </w:p>
    <w:p w:rsidR="00151CA2" w:rsidRPr="00852C36" w:rsidRDefault="00151CA2" w:rsidP="00EE0FE7">
      <w:pPr>
        <w:pStyle w:val="Recuodecorpodetexto2"/>
        <w:spacing w:after="0" w:line="276" w:lineRule="auto"/>
        <w:ind w:left="0" w:firstLine="708"/>
        <w:jc w:val="both"/>
      </w:pPr>
      <w:r w:rsidRPr="00852C36">
        <w:t>Art. 3º Fazem parte da presente Lei os seguintes documentos: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>I – Documentos Gerais;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>II - Certidão Atualizada do Imóvel;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>III - Declaração de viabilidade para loteamento e ampliação da rede de água da CASAN S.A;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>IV – Prancha 01 - contendo o projeto de rede elétrica da CELESC S.A.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>V - Licenças Ambientais;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>VI - Memorial descritivo do Loteamento;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>VII – Termo de responsabilidade para Execução de Infraestrutura;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>VIII – Certidões Negativas;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 xml:space="preserve">IX– </w:t>
      </w:r>
      <w:proofErr w:type="spellStart"/>
      <w:r w:rsidRPr="00852C36">
        <w:t>A.R.T.</w:t>
      </w:r>
      <w:proofErr w:type="spellEnd"/>
      <w:r w:rsidRPr="00852C36">
        <w:t>s dos profissionais responsáveis pelo projeto do Loteamento;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 xml:space="preserve">X – Pranchas 01 A 08, contendo a planta de situação, confrontações, planta baixa; as curvas de níveis; detalhes urbanísticos; plantas das áreas verdes georeferenciadas; 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>XI – Projeto de terraplanagem prancha 01 a 04;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>XII – Projeto de drenagem pluvial; detalhes da drenagem pluvial e perfil das Ruas; pranchas de 01 a 05;</w:t>
      </w:r>
    </w:p>
    <w:p w:rsidR="00151CA2" w:rsidRPr="00852C36" w:rsidRDefault="00151CA2" w:rsidP="00EE0FE7">
      <w:pPr>
        <w:pStyle w:val="Recuodecorpodetexto2"/>
        <w:spacing w:after="0" w:line="276" w:lineRule="auto"/>
        <w:ind w:left="0"/>
        <w:jc w:val="both"/>
      </w:pPr>
      <w:r w:rsidRPr="00852C36">
        <w:t xml:space="preserve">XIII – Projeto de pavimentação asfáltica. </w:t>
      </w:r>
    </w:p>
    <w:p w:rsidR="00151CA2" w:rsidRPr="00852C36" w:rsidRDefault="00852C36" w:rsidP="00EE0FE7">
      <w:pPr>
        <w:pStyle w:val="Recuodecorpodetexto2"/>
        <w:spacing w:after="0" w:line="276" w:lineRule="auto"/>
        <w:ind w:left="0" w:firstLine="708"/>
        <w:jc w:val="both"/>
      </w:pPr>
      <w:r w:rsidRPr="00852C36">
        <w:t>Art. 4</w:t>
      </w:r>
      <w:r w:rsidR="00151CA2" w:rsidRPr="00852C36">
        <w:t>º Esta Lei entrará em vigor na data de sua publicação, ficando revogadas as disposições em contrário.</w:t>
      </w:r>
    </w:p>
    <w:p w:rsidR="00852C36" w:rsidRPr="00852C36" w:rsidRDefault="00852C36" w:rsidP="00EE0FE7">
      <w:pPr>
        <w:spacing w:line="276" w:lineRule="auto"/>
        <w:ind w:firstLine="1276"/>
        <w:contextualSpacing/>
        <w:jc w:val="both"/>
      </w:pPr>
      <w:r w:rsidRPr="00852C36">
        <w:t xml:space="preserve">Da Secretaria da Câmara Municipal de Vereadores de Guarujá do Sul, Estado de Santa Catarina, aos </w:t>
      </w:r>
      <w:r w:rsidR="006F388E">
        <w:t>13</w:t>
      </w:r>
      <w:r w:rsidRPr="00852C36">
        <w:t xml:space="preserve"> dias do mês de </w:t>
      </w:r>
      <w:r w:rsidR="00BC5287">
        <w:t>dezembro</w:t>
      </w:r>
      <w:r w:rsidR="00BC5287" w:rsidRPr="00852C36">
        <w:t xml:space="preserve"> </w:t>
      </w:r>
      <w:r w:rsidRPr="00852C36">
        <w:t>de 2018.</w:t>
      </w:r>
    </w:p>
    <w:p w:rsidR="00852C36" w:rsidRPr="00852C36" w:rsidRDefault="00BC5287" w:rsidP="00EE0FE7">
      <w:pPr>
        <w:spacing w:line="276" w:lineRule="auto"/>
        <w:ind w:firstLine="1276"/>
        <w:jc w:val="both"/>
      </w:pPr>
      <w:r>
        <w:t>Em sua 14ª Legislatura, 2</w:t>
      </w:r>
      <w:r w:rsidR="00852C36" w:rsidRPr="00852C36">
        <w:t>ª Sessão Legislativa, 2º período, 55º ano de sua Instalação Legislativa.</w:t>
      </w:r>
    </w:p>
    <w:p w:rsidR="00852C36" w:rsidRPr="00852C36" w:rsidRDefault="00852C36" w:rsidP="00EE0FE7">
      <w:pPr>
        <w:spacing w:line="276" w:lineRule="auto"/>
        <w:jc w:val="both"/>
      </w:pPr>
    </w:p>
    <w:p w:rsidR="00852C36" w:rsidRPr="00852C36" w:rsidRDefault="00852C36" w:rsidP="00EE0FE7">
      <w:pPr>
        <w:spacing w:line="276" w:lineRule="auto"/>
        <w:jc w:val="both"/>
      </w:pPr>
    </w:p>
    <w:tbl>
      <w:tblPr>
        <w:tblW w:w="0" w:type="auto"/>
        <w:tblLook w:val="04A0"/>
      </w:tblPr>
      <w:tblGrid>
        <w:gridCol w:w="3794"/>
        <w:gridCol w:w="1134"/>
        <w:gridCol w:w="3716"/>
      </w:tblGrid>
      <w:tr w:rsidR="00852C36" w:rsidRPr="00852C36" w:rsidTr="00A12FC8">
        <w:tc>
          <w:tcPr>
            <w:tcW w:w="3794" w:type="dxa"/>
            <w:hideMark/>
          </w:tcPr>
          <w:p w:rsidR="00852C36" w:rsidRPr="00852C36" w:rsidRDefault="00852C36" w:rsidP="00EE0FE7">
            <w:pPr>
              <w:spacing w:line="276" w:lineRule="auto"/>
              <w:jc w:val="center"/>
              <w:rPr>
                <w:rFonts w:eastAsia="Calibri"/>
              </w:rPr>
            </w:pPr>
            <w:r w:rsidRPr="00852C36">
              <w:rPr>
                <w:rFonts w:eastAsia="Calibri"/>
              </w:rPr>
              <w:t>GILMAR KLAUS</w:t>
            </w:r>
          </w:p>
        </w:tc>
        <w:tc>
          <w:tcPr>
            <w:tcW w:w="1134" w:type="dxa"/>
          </w:tcPr>
          <w:p w:rsidR="00852C36" w:rsidRPr="00852C36" w:rsidRDefault="00852C36" w:rsidP="00EE0FE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716" w:type="dxa"/>
            <w:hideMark/>
          </w:tcPr>
          <w:p w:rsidR="00852C36" w:rsidRPr="00852C36" w:rsidRDefault="00852C36" w:rsidP="00EE0FE7">
            <w:pPr>
              <w:spacing w:line="276" w:lineRule="auto"/>
              <w:jc w:val="center"/>
              <w:rPr>
                <w:rFonts w:eastAsia="Calibri"/>
              </w:rPr>
            </w:pPr>
            <w:r w:rsidRPr="00852C36">
              <w:rPr>
                <w:rFonts w:eastAsia="Calibri"/>
              </w:rPr>
              <w:t>JAIR TIBOLLA</w:t>
            </w:r>
          </w:p>
        </w:tc>
      </w:tr>
      <w:tr w:rsidR="00852C36" w:rsidRPr="00852C36" w:rsidTr="00A12FC8">
        <w:tc>
          <w:tcPr>
            <w:tcW w:w="3794" w:type="dxa"/>
            <w:hideMark/>
          </w:tcPr>
          <w:p w:rsidR="00852C36" w:rsidRPr="00852C36" w:rsidRDefault="00852C36" w:rsidP="00EE0FE7">
            <w:pPr>
              <w:spacing w:line="276" w:lineRule="auto"/>
              <w:jc w:val="center"/>
              <w:rPr>
                <w:rFonts w:eastAsia="Calibri"/>
              </w:rPr>
            </w:pPr>
            <w:r w:rsidRPr="00852C36">
              <w:rPr>
                <w:rFonts w:eastAsia="Calibri"/>
              </w:rPr>
              <w:t>Presidente</w:t>
            </w:r>
          </w:p>
        </w:tc>
        <w:tc>
          <w:tcPr>
            <w:tcW w:w="1134" w:type="dxa"/>
          </w:tcPr>
          <w:p w:rsidR="00852C36" w:rsidRPr="00852C36" w:rsidRDefault="00852C36" w:rsidP="00EE0FE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716" w:type="dxa"/>
            <w:hideMark/>
          </w:tcPr>
          <w:p w:rsidR="00852C36" w:rsidRPr="00852C36" w:rsidRDefault="00852C36" w:rsidP="00EE0FE7">
            <w:pPr>
              <w:spacing w:line="276" w:lineRule="auto"/>
              <w:jc w:val="center"/>
              <w:rPr>
                <w:rFonts w:eastAsia="Calibri"/>
              </w:rPr>
            </w:pPr>
            <w:r w:rsidRPr="00852C36">
              <w:rPr>
                <w:rFonts w:eastAsia="Calibri"/>
              </w:rPr>
              <w:t>1º Secretário</w:t>
            </w:r>
          </w:p>
        </w:tc>
      </w:tr>
    </w:tbl>
    <w:p w:rsidR="00151CA2" w:rsidRPr="00852C36" w:rsidRDefault="00151CA2" w:rsidP="006F388E">
      <w:pPr>
        <w:pStyle w:val="Recuodecorpodetexto2"/>
        <w:spacing w:after="0" w:line="276" w:lineRule="auto"/>
        <w:ind w:left="0"/>
        <w:jc w:val="both"/>
      </w:pPr>
      <w:bookmarkStart w:id="0" w:name="_GoBack"/>
      <w:bookmarkEnd w:id="0"/>
    </w:p>
    <w:sectPr w:rsidR="00151CA2" w:rsidRPr="00852C36" w:rsidSect="00852C3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CA2"/>
    <w:rsid w:val="00151CA2"/>
    <w:rsid w:val="001C7228"/>
    <w:rsid w:val="002818EF"/>
    <w:rsid w:val="003873E3"/>
    <w:rsid w:val="006F388E"/>
    <w:rsid w:val="00852C36"/>
    <w:rsid w:val="008B2354"/>
    <w:rsid w:val="00A91DD4"/>
    <w:rsid w:val="00BC5287"/>
    <w:rsid w:val="00DF4A16"/>
    <w:rsid w:val="00EE0FE7"/>
    <w:rsid w:val="00F2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151C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51CA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51CA2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51CA2"/>
    <w:rPr>
      <w:rFonts w:eastAsiaTheme="minorEastAsia"/>
      <w:sz w:val="16"/>
      <w:szCs w:val="16"/>
      <w:lang w:eastAsia="pt-BR"/>
    </w:rPr>
  </w:style>
  <w:style w:type="paragraph" w:styleId="SemEspaamento">
    <w:name w:val="No Spacing"/>
    <w:uiPriority w:val="1"/>
    <w:qFormat/>
    <w:rsid w:val="00151CA2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151C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151C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51CA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51CA2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51CA2"/>
    <w:rPr>
      <w:rFonts w:eastAsiaTheme="minorEastAsia"/>
      <w:sz w:val="16"/>
      <w:szCs w:val="16"/>
      <w:lang w:eastAsia="pt-BR"/>
    </w:rPr>
  </w:style>
  <w:style w:type="paragraph" w:styleId="SemEspaamento">
    <w:name w:val="No Spacing"/>
    <w:uiPriority w:val="1"/>
    <w:qFormat/>
    <w:rsid w:val="00151CA2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151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</cp:lastModifiedBy>
  <cp:revision>6</cp:revision>
  <cp:lastPrinted>2018-12-13T15:05:00Z</cp:lastPrinted>
  <dcterms:created xsi:type="dcterms:W3CDTF">2018-12-04T09:59:00Z</dcterms:created>
  <dcterms:modified xsi:type="dcterms:W3CDTF">2018-12-13T15:11:00Z</dcterms:modified>
</cp:coreProperties>
</file>