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0D04CB" w:rsidRDefault="00625EC0" w:rsidP="000D04C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0D04CB">
        <w:rPr>
          <w:b/>
          <w:bCs/>
          <w:color w:val="000000"/>
        </w:rPr>
        <w:t xml:space="preserve">REDAÇÃO FINAL AO </w:t>
      </w:r>
      <w:r w:rsidR="00741CCF" w:rsidRPr="000D04CB">
        <w:rPr>
          <w:b/>
          <w:bCs/>
          <w:color w:val="000000"/>
        </w:rPr>
        <w:t>PROJETO DE LEI Nº</w:t>
      </w:r>
      <w:r w:rsidR="000D04CB">
        <w:rPr>
          <w:b/>
          <w:bCs/>
          <w:color w:val="000000"/>
        </w:rPr>
        <w:t xml:space="preserve"> </w:t>
      </w:r>
      <w:r w:rsidR="001761F7" w:rsidRPr="000D04CB">
        <w:rPr>
          <w:b/>
          <w:bCs/>
          <w:color w:val="000000"/>
        </w:rPr>
        <w:t>35</w:t>
      </w:r>
      <w:r w:rsidR="006C382D" w:rsidRPr="000D04CB">
        <w:rPr>
          <w:b/>
          <w:bCs/>
          <w:color w:val="000000"/>
        </w:rPr>
        <w:t>/2020</w:t>
      </w:r>
    </w:p>
    <w:p w:rsidR="004C20C4" w:rsidRPr="000D04CB" w:rsidRDefault="004C20C4" w:rsidP="001761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7D7EEA" w:rsidRPr="000D04CB" w:rsidRDefault="001761F7" w:rsidP="000D04CB">
      <w:pPr>
        <w:pStyle w:val="NormalWeb"/>
        <w:shd w:val="clear" w:color="auto" w:fill="FFFFFF"/>
        <w:spacing w:before="0" w:beforeAutospacing="0" w:after="0" w:afterAutospacing="0" w:line="360" w:lineRule="auto"/>
        <w:ind w:left="3828"/>
        <w:jc w:val="both"/>
        <w:rPr>
          <w:rFonts w:eastAsia="Calibri"/>
          <w:b/>
          <w:bCs/>
        </w:rPr>
      </w:pPr>
      <w:r w:rsidRPr="000D04CB">
        <w:rPr>
          <w:rFonts w:eastAsia="Calibri"/>
          <w:b/>
          <w:bCs/>
        </w:rPr>
        <w:t xml:space="preserve">ALTERA DISPOSITIVOS DA LEI N. 2223, DE 13 DE JULHO DE 2012 QUE </w:t>
      </w:r>
      <w:r w:rsidRPr="000D04CB">
        <w:rPr>
          <w:rFonts w:eastAsia="Calibri"/>
          <w:b/>
          <w:bCs/>
          <w:i/>
        </w:rPr>
        <w:t>DISPÕE SOBRE A POLÍTICA MUNICIPAL DE DESENVOLVIMENTO ECONÔMICO</w:t>
      </w:r>
      <w:r w:rsidR="000D04CB" w:rsidRPr="000D04CB">
        <w:rPr>
          <w:rFonts w:eastAsia="Calibri"/>
          <w:b/>
          <w:bCs/>
          <w:i/>
        </w:rPr>
        <w:t>,</w:t>
      </w:r>
      <w:r w:rsidRPr="000D04CB">
        <w:rPr>
          <w:rFonts w:eastAsia="Calibri"/>
          <w:b/>
          <w:bCs/>
        </w:rPr>
        <w:t xml:space="preserve"> E DÁ OUTRAS PROVIDÊNCIAS.</w:t>
      </w:r>
    </w:p>
    <w:p w:rsidR="001761F7" w:rsidRPr="000D04CB" w:rsidRDefault="001761F7" w:rsidP="001761F7">
      <w:pPr>
        <w:pStyle w:val="NormalWeb"/>
        <w:shd w:val="clear" w:color="auto" w:fill="FFFFFF"/>
        <w:spacing w:before="0" w:beforeAutospacing="0" w:after="0" w:afterAutospacing="0" w:line="360" w:lineRule="auto"/>
        <w:ind w:left="3402"/>
        <w:jc w:val="both"/>
        <w:rPr>
          <w:rFonts w:eastAsia="Calibri"/>
          <w:b/>
          <w:bCs/>
        </w:rPr>
      </w:pPr>
    </w:p>
    <w:p w:rsidR="007E7407" w:rsidRPr="000D04CB" w:rsidRDefault="00625EC0" w:rsidP="001761F7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</w:rPr>
      </w:pPr>
      <w:r w:rsidRPr="000D04CB">
        <w:rPr>
          <w:rFonts w:eastAsia="Calibri"/>
        </w:rPr>
        <w:t>O</w:t>
      </w:r>
      <w:r w:rsidRPr="000D04CB">
        <w:rPr>
          <w:rFonts w:eastAsia="Calibri"/>
          <w:b/>
        </w:rPr>
        <w:t xml:space="preserve"> PRESIDENTE </w:t>
      </w:r>
      <w:r w:rsidRPr="000D04CB">
        <w:rPr>
          <w:rFonts w:eastAsia="Calibri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0D04CB" w:rsidRDefault="00DE5989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3049" w:rsidRPr="000D04CB" w:rsidRDefault="002B3049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1º</w:t>
      </w:r>
      <w:r w:rsidR="000D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1F7" w:rsidRPr="000D04CB">
        <w:rPr>
          <w:rFonts w:ascii="Times New Roman" w:hAnsi="Times New Roman" w:cs="Times New Roman"/>
          <w:bCs/>
          <w:sz w:val="24"/>
          <w:szCs w:val="24"/>
        </w:rPr>
        <w:t>F</w:t>
      </w:r>
      <w:r w:rsidR="001761F7" w:rsidRPr="000D04CB">
        <w:rPr>
          <w:rFonts w:ascii="Times New Roman" w:hAnsi="Times New Roman" w:cs="Times New Roman"/>
          <w:sz w:val="24"/>
          <w:szCs w:val="24"/>
        </w:rPr>
        <w:t xml:space="preserve">ica alterado o artigo 3º da </w:t>
      </w:r>
      <w:r w:rsidR="001761F7" w:rsidRPr="000D04CB">
        <w:rPr>
          <w:rFonts w:ascii="Times New Roman" w:hAnsi="Times New Roman" w:cs="Times New Roman"/>
          <w:bCs/>
          <w:sz w:val="24"/>
          <w:szCs w:val="24"/>
        </w:rPr>
        <w:t>Lei n. 2.223, de 13 de julho de 2012, com as alterações introduzidas pelas Leis n</w:t>
      </w:r>
      <w:r w:rsidR="000D04CB" w:rsidRPr="000D04CB"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  <w:t>os</w:t>
      </w:r>
      <w:r w:rsidR="001761F7" w:rsidRPr="000D04CB">
        <w:rPr>
          <w:rFonts w:ascii="Times New Roman" w:hAnsi="Times New Roman" w:cs="Times New Roman"/>
          <w:bCs/>
          <w:sz w:val="24"/>
          <w:szCs w:val="24"/>
        </w:rPr>
        <w:t xml:space="preserve"> 2.289, de 08 de agosto de 2013 e 2.253, de 02 de junho de 2017</w:t>
      </w:r>
      <w:r w:rsidR="001761F7" w:rsidRPr="000D04CB">
        <w:rPr>
          <w:rFonts w:ascii="Times New Roman" w:hAnsi="Times New Roman" w:cs="Times New Roman"/>
          <w:sz w:val="24"/>
          <w:szCs w:val="24"/>
        </w:rPr>
        <w:t>,</w:t>
      </w:r>
      <w:r w:rsidR="001761F7" w:rsidRPr="000D04CB">
        <w:rPr>
          <w:rFonts w:ascii="Times New Roman" w:hAnsi="Times New Roman" w:cs="Times New Roman"/>
          <w:bCs/>
          <w:sz w:val="24"/>
          <w:szCs w:val="24"/>
        </w:rPr>
        <w:t xml:space="preserve"> com a alteração d</w:t>
      </w:r>
      <w:r w:rsidR="001761F7" w:rsidRPr="000D04CB">
        <w:rPr>
          <w:rFonts w:ascii="Times New Roman" w:hAnsi="Times New Roman" w:cs="Times New Roman"/>
          <w:sz w:val="24"/>
          <w:szCs w:val="24"/>
        </w:rPr>
        <w:t>os incisos I e II e criação do § 4º, que passa a vigorar com a seguinte redação: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3A2B1E" w:rsidRPr="000D04C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D04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i/>
          <w:sz w:val="24"/>
          <w:szCs w:val="24"/>
        </w:rPr>
        <w:t>Isenção de 50% (</w:t>
      </w:r>
      <w:proofErr w:type="spellStart"/>
      <w:r w:rsidRPr="000D04CB">
        <w:rPr>
          <w:rFonts w:ascii="Times New Roman" w:hAnsi="Times New Roman" w:cs="Times New Roman"/>
          <w:i/>
          <w:sz w:val="24"/>
          <w:szCs w:val="24"/>
        </w:rPr>
        <w:t>cinquenta</w:t>
      </w:r>
      <w:proofErr w:type="spellEnd"/>
      <w:r w:rsidRPr="000D04CB">
        <w:rPr>
          <w:rFonts w:ascii="Times New Roman" w:hAnsi="Times New Roman" w:cs="Times New Roman"/>
          <w:i/>
          <w:sz w:val="24"/>
          <w:szCs w:val="24"/>
        </w:rPr>
        <w:t xml:space="preserve"> por cento) do Imposto Predial e Territorial Urbano, p</w:t>
      </w:r>
      <w:r w:rsidR="003A2B1E" w:rsidRPr="000D04CB">
        <w:rPr>
          <w:rFonts w:ascii="Times New Roman" w:hAnsi="Times New Roman" w:cs="Times New Roman"/>
          <w:i/>
          <w:sz w:val="24"/>
          <w:szCs w:val="24"/>
        </w:rPr>
        <w:t xml:space="preserve">elo prazo de até 10 (dez) anos, </w:t>
      </w:r>
      <w:r w:rsidRPr="000D04CB">
        <w:rPr>
          <w:rFonts w:ascii="Times New Roman" w:hAnsi="Times New Roman" w:cs="Times New Roman"/>
          <w:i/>
          <w:sz w:val="24"/>
          <w:szCs w:val="24"/>
        </w:rPr>
        <w:t>incidente sobre o imóvel objeto da exploração econômica;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 xml:space="preserve">II </w:t>
      </w:r>
      <w:r w:rsidR="003A2B1E" w:rsidRPr="000D04CB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0D04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i/>
          <w:sz w:val="24"/>
          <w:szCs w:val="24"/>
        </w:rPr>
        <w:t>Isenção das taxas de: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a)</w:t>
      </w:r>
      <w:r w:rsidR="000D04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i/>
          <w:sz w:val="24"/>
          <w:szCs w:val="24"/>
        </w:rPr>
        <w:t>Alvará de Construção quando da edificação para abrigar a empresa;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b)</w:t>
      </w:r>
      <w:r w:rsidR="000D04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i/>
          <w:sz w:val="24"/>
          <w:szCs w:val="24"/>
        </w:rPr>
        <w:t>Habite-se referente à edificação que abrigará a empresa: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c)</w:t>
      </w:r>
      <w:r w:rsidR="000D04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i/>
          <w:sz w:val="24"/>
          <w:szCs w:val="24"/>
        </w:rPr>
        <w:t>Licença, Localização e Funcionamento e/ou Fiscalização e Vistoria pelo prazo de até 10 (dez) anos;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4º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Os critérios para solicitação, concessão e demais diretrizes de operacionalização do incentivo de que trata este artigo serão regulamentados por Decreto Municipal.</w:t>
      </w:r>
    </w:p>
    <w:p w:rsidR="00F36291" w:rsidRPr="000D04CB" w:rsidRDefault="00F36291" w:rsidP="001761F7">
      <w:pPr>
        <w:pStyle w:val="SemEspaamento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761F7" w:rsidRPr="000D04CB" w:rsidRDefault="002B3049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2º</w:t>
      </w:r>
      <w:r w:rsidR="000D04CB">
        <w:rPr>
          <w:rFonts w:ascii="Times New Roman" w:hAnsi="Times New Roman" w:cs="Times New Roman"/>
          <w:sz w:val="24"/>
          <w:szCs w:val="24"/>
        </w:rPr>
        <w:t xml:space="preserve"> </w:t>
      </w:r>
      <w:r w:rsidR="001761F7" w:rsidRPr="000D04CB">
        <w:rPr>
          <w:rFonts w:ascii="Times New Roman" w:hAnsi="Times New Roman" w:cs="Times New Roman"/>
          <w:sz w:val="24"/>
          <w:szCs w:val="24"/>
        </w:rPr>
        <w:t>Fica inserido o § 4º ao artigo 4º da Lei n. 2.223, de 13 de julho de 2012, com as alterações posteriores, com a seguinte redação: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4º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Para o incentivo previsto no inciso VI deste artigo deverão ser observadas as seguintes regras específicas: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lastRenderedPageBreak/>
        <w:t>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O pagamento poderá ser em parcelas anuais para liquidação total até o final do prazo de oito anos;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Será concedida carência de até dois anos para o início do pagamento, contados da assinatura do contrato;</w:t>
      </w:r>
    </w:p>
    <w:p w:rsidR="001761F7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III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O saldo devedor será atualizado monetariamente a partir do término do prazo de carência, pelo IPCA ou outro índice oficial que o substitua;</w:t>
      </w:r>
    </w:p>
    <w:p w:rsidR="00F36291" w:rsidRPr="000D04CB" w:rsidRDefault="001761F7" w:rsidP="001761F7">
      <w:pPr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IV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Poderá haver doação onerosa do lote e venda do pavilhão edificado sobre o mesmo ou a adoção da mesma modalidade tanto para o lote como para o pavilhão.</w:t>
      </w:r>
    </w:p>
    <w:p w:rsidR="00F36291" w:rsidRPr="000D04CB" w:rsidRDefault="00F36291" w:rsidP="001761F7">
      <w:pPr>
        <w:pStyle w:val="SemEspaamento"/>
        <w:spacing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761F7" w:rsidRPr="000D04CB" w:rsidRDefault="00EC4120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="00103F0E" w:rsidRPr="000D04CB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0D04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1F7" w:rsidRPr="000D04CB">
        <w:rPr>
          <w:rFonts w:ascii="Times New Roman" w:hAnsi="Times New Roman" w:cs="Times New Roman"/>
          <w:sz w:val="24"/>
          <w:szCs w:val="24"/>
        </w:rPr>
        <w:t>Fica inserido o inciso IV ao artigo 5º da Lei n. 2.223, de 13 de julho de 2012, com as alterações posteriores, com a seguinte redação:</w:t>
      </w:r>
    </w:p>
    <w:p w:rsidR="001761F7" w:rsidRPr="000D04CB" w:rsidRDefault="001761F7" w:rsidP="00EC4120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IV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Apresentação de índice positivo de movimento e</w:t>
      </w:r>
      <w:r w:rsidR="00EC4120" w:rsidRPr="000D04CB">
        <w:rPr>
          <w:rFonts w:ascii="Times New Roman" w:hAnsi="Times New Roman" w:cs="Times New Roman"/>
          <w:i/>
          <w:sz w:val="24"/>
          <w:szCs w:val="24"/>
        </w:rPr>
        <w:t>conômico, nos termos desta Lei.</w:t>
      </w:r>
    </w:p>
    <w:p w:rsidR="000D04CB" w:rsidRDefault="000D04CB" w:rsidP="00EC4120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1F7" w:rsidRPr="000D04CB" w:rsidRDefault="001761F7" w:rsidP="00EC4120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4º</w:t>
      </w:r>
      <w:r w:rsidRPr="000D04CB">
        <w:rPr>
          <w:rFonts w:ascii="Times New Roman" w:hAnsi="Times New Roman" w:cs="Times New Roman"/>
          <w:sz w:val="24"/>
          <w:szCs w:val="24"/>
        </w:rPr>
        <w:t xml:space="preserve"> Fica inserido o inciso V ao artigo 6º da Lei n. 2.223, de 13 de julho de 2012, com as alterações poste</w:t>
      </w:r>
      <w:r w:rsidR="00EC4120" w:rsidRPr="000D04CB">
        <w:rPr>
          <w:rFonts w:ascii="Times New Roman" w:hAnsi="Times New Roman" w:cs="Times New Roman"/>
          <w:sz w:val="24"/>
          <w:szCs w:val="24"/>
        </w:rPr>
        <w:t>riores, com a seguinte redação: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V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Geração e manutenção do índice positivo de movimento econômico.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5º</w:t>
      </w:r>
      <w:r w:rsidRPr="000D04CB">
        <w:rPr>
          <w:rFonts w:ascii="Times New Roman" w:hAnsi="Times New Roman" w:cs="Times New Roman"/>
          <w:sz w:val="24"/>
          <w:szCs w:val="24"/>
        </w:rPr>
        <w:t xml:space="preserve"> Ficam alterados os §§ 1º, 2º e 3º do artigo 6º da Lei n. 2.223, de 13 de julho de 2012, com as alterações posteriores, que passam a vigorar com a seguinte redação: 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1º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O prazo de concessão do direito real de uso será o seguinte: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 -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Quando recair sobre edificação que tenha, no máximo, 400,0m² (quatrocentos metros quadrados) de área construída será de cinco anos, contados de sua instalação no imóvel concedido, podendo ser prorrogado por mais três anos, mediante requerimento devidamente justificado. 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Para imóveis com metragem superior ao definido no inciso I deste artigo, o prazo fica estipulado em 10 (dez) anos podendo ser prorrogado uma vez por até igual período, mediante requerimento devidamente justificado.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2º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Ao final do prazo da concessão, o imóvel deverá retornar ao poder público municipal em condições ideais de uso e não será devida ao concessionário </w:t>
      </w:r>
      <w:r w:rsidRPr="000D04CB">
        <w:rPr>
          <w:rFonts w:ascii="Times New Roman" w:hAnsi="Times New Roman" w:cs="Times New Roman"/>
          <w:i/>
          <w:sz w:val="24"/>
          <w:szCs w:val="24"/>
        </w:rPr>
        <w:lastRenderedPageBreak/>
        <w:t>qualquer tipo de indenização seja por eventual ampliação, reformas ou melhorias efetuadas na edificação, as quais serão acessórias do imóvel e integrarão o patrimônio público municipal.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3º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Para a prorrogação dos prazos de que tratam os incisos I e II, a empresa concessionária deverá demonstrar, fundamentalmente, a necessidade da dilação do prazo, protocolando o pedido no mínimo sessenta dias antes do término do prazo original.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6º</w:t>
      </w:r>
      <w:r w:rsidR="00EC4120" w:rsidRPr="000D0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sz w:val="24"/>
          <w:szCs w:val="24"/>
        </w:rPr>
        <w:t xml:space="preserve">Fica alterado o inciso I do artigo 11 da Lei n. 2.223, de 13 de julho de 2012, com as alterações posteriores, que passa a vigorar com a seguinte redação: 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Declaração do ICMS e do Movimento Econômico - DIME, demonstrando acréscimo no movimento econômico (índice positivo); 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7º</w:t>
      </w:r>
      <w:r w:rsidRPr="000D04CB">
        <w:rPr>
          <w:rFonts w:ascii="Times New Roman" w:hAnsi="Times New Roman" w:cs="Times New Roman"/>
          <w:sz w:val="24"/>
          <w:szCs w:val="24"/>
        </w:rPr>
        <w:t xml:space="preserve"> Altera o artigo 19 da Lei n. 2.223, de 13 de julho de 2012, com as alterações posteriores, que passa a vigorar com a inclusão dos §§ 1º ao 4º: 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1º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Será de até 06(seis) meses o prazo, após notificação, para que a beneficiada retire as benfeitorias por ela construídas sobre o imóvel público municipal e o devolva livre e desembaraçado de quaisquer ônus.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2º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Vencido o prazo fixado no § 2º do art. 5º desta Lei, restando comprovada, em processo administrativo específico, a ausência de má-fé por parte da empresa, a reversão poderá ser substituída por medida financeira compensatória em que a donatária indenize o Poder Público Municipal o valor correspondente ao imóvel recebido à época do contrato, corrigido mensalmente pelo IPCA e calculado na forma do artigo 19-A desta Lei.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3º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A ausência de má-fé da empresa será constatada na presença </w:t>
      </w:r>
      <w:r w:rsidRPr="000D04CB">
        <w:rPr>
          <w:rFonts w:ascii="Times New Roman" w:hAnsi="Times New Roman" w:cs="Times New Roman"/>
          <w:i/>
          <w:sz w:val="24"/>
          <w:szCs w:val="24"/>
          <w:u w:val="single"/>
        </w:rPr>
        <w:t>de ao menos dois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dos seguintes elementos: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 xml:space="preserve">I – </w:t>
      </w:r>
      <w:r w:rsidRPr="000D04CB">
        <w:rPr>
          <w:rFonts w:ascii="Times New Roman" w:hAnsi="Times New Roman" w:cs="Times New Roman"/>
          <w:i/>
          <w:sz w:val="24"/>
          <w:szCs w:val="24"/>
        </w:rPr>
        <w:t>Utilização do imóvel para o desenvolvimento da atividade empresarial de acordo com a proposta apresentada no processo licitatório, durante os oito anos seguintes à assinatura do contrato;</w:t>
      </w:r>
    </w:p>
    <w:p w:rsidR="003A2B1E" w:rsidRPr="000D04CB" w:rsidRDefault="001761F7" w:rsidP="003A2B1E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lastRenderedPageBreak/>
        <w:t>II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Edificação sobre o imóvel em valor correspondente a no mínimo 50% (cinquenta por cento) do valor atribuído ao imóvel recebido, calculado na forma do § 2º deste artigo;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§ 4º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O recolhimento dos valores referidos no § 2º deste artigo será feito </w:t>
      </w:r>
      <w:r w:rsidR="0035447C" w:rsidRPr="000D04CB">
        <w:rPr>
          <w:rFonts w:ascii="Times New Roman" w:hAnsi="Times New Roman" w:cs="Times New Roman"/>
          <w:i/>
          <w:sz w:val="24"/>
          <w:szCs w:val="24"/>
          <w:u w:val="single"/>
        </w:rPr>
        <w:t xml:space="preserve">em até 10 </w:t>
      </w:r>
      <w:r w:rsidR="0035447C" w:rsidRPr="000D04CB">
        <w:rPr>
          <w:rFonts w:ascii="Times New Roman" w:hAnsi="Times New Roman" w:cs="Times New Roman"/>
          <w:i/>
          <w:sz w:val="24"/>
          <w:szCs w:val="24"/>
        </w:rPr>
        <w:t>(dez)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prestações mensais, sucessivas e devidamente corrigidas na forma desta Lei e somente quando da sua quitação integral a cláusula de reversão será liberada da escritura e matrícula do imóvel.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8º</w:t>
      </w:r>
      <w:r w:rsidRPr="000D04CB">
        <w:rPr>
          <w:rFonts w:ascii="Times New Roman" w:hAnsi="Times New Roman" w:cs="Times New Roman"/>
          <w:sz w:val="24"/>
          <w:szCs w:val="24"/>
        </w:rPr>
        <w:t xml:space="preserve"> A Lei n. 2.223, de 13 de julho de 2012, com as alterações posteriores, passa a vigorar com seguinte redação com a inclusão dos artigos 19-A e 19-B: 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1F7" w:rsidRPr="000D04CB" w:rsidRDefault="001761F7" w:rsidP="000178E2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Art. 19-A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Para fins de cálculo do valor da indenização compensatória ficam estabelecidos os seguintes critérios: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Encargo referente à construção: corresponde a 30% (trinta por cento) do valor do imóvel recebido em doação;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Encargo referente ao movimento econômico: corresponde a 20% (vinte por cento) do valor do imóvel recebido em doação;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III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Encargo referente à geração de empregos: corresponde a 50% (cinquenta por cento) do valor do imóvel recebido em doação.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Pr="000D04CB">
        <w:rPr>
          <w:rFonts w:ascii="Times New Roman" w:hAnsi="Times New Roman" w:cs="Times New Roman"/>
          <w:i/>
          <w:sz w:val="24"/>
          <w:szCs w:val="24"/>
        </w:rPr>
        <w:t>. Havendo cumprimento parcial dos encargos a conversão será proporcional ao que for efetivamente cumprido.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61F7" w:rsidRPr="000D04CB" w:rsidRDefault="003A2B1E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Art. 19-B</w:t>
      </w:r>
      <w:r w:rsidR="001761F7" w:rsidRPr="000D04CB">
        <w:rPr>
          <w:rFonts w:ascii="Times New Roman" w:hAnsi="Times New Roman" w:cs="Times New Roman"/>
          <w:i/>
          <w:sz w:val="24"/>
          <w:szCs w:val="24"/>
        </w:rPr>
        <w:t xml:space="preserve"> Para resolver situações fáticas pré-existentes quando da entrada em vigor desta Lei, relativamente a imóveis que foram objeto de doação com encargos mediante processo licitatório, com contratos vencidos sem o cumprimento integral dos encargos por parte da empresa, poderão ser adotadas as seguintes medidas: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I –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Adoção da medida prevista no artigo 19, § § 2º, 3º e 4º desta Lei, com a substituição da reversão por medida financeira compensatória em que a donatária indenize o Poder Público Municipal o valor correspondente ao imóvel, o qual será alcançado aplicando-se as regras do art. 19-A desta Lei;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lastRenderedPageBreak/>
        <w:t>II -</w:t>
      </w:r>
      <w:r w:rsidRPr="000D04CB">
        <w:rPr>
          <w:rFonts w:ascii="Times New Roman" w:hAnsi="Times New Roman" w:cs="Times New Roman"/>
          <w:i/>
          <w:sz w:val="24"/>
          <w:szCs w:val="24"/>
        </w:rPr>
        <w:t xml:space="preserve"> ser objeto de nova doação com encargos, mediante processo de dispensa de licitação na forma do artigo 17,§ 4º, da Lei n. 8666/1993 e autorização legislativa específica, a fim de que a empresa cumpra os encargos pertinentes ao contrato original e assim adquira a propriedade plena do imóvel.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4CB">
        <w:rPr>
          <w:rFonts w:ascii="Times New Roman" w:hAnsi="Times New Roman" w:cs="Times New Roman"/>
          <w:b/>
          <w:i/>
          <w:sz w:val="24"/>
          <w:szCs w:val="24"/>
        </w:rPr>
        <w:t>Parágrafo único</w:t>
      </w:r>
      <w:r w:rsidRPr="000D04CB">
        <w:rPr>
          <w:rFonts w:ascii="Times New Roman" w:hAnsi="Times New Roman" w:cs="Times New Roman"/>
          <w:i/>
          <w:sz w:val="24"/>
          <w:szCs w:val="24"/>
        </w:rPr>
        <w:t>. Para fins da aplicação do inciso II deste artigo, fica reconhecido como de interesse públic</w:t>
      </w:r>
      <w:bookmarkStart w:id="0" w:name="_GoBack"/>
      <w:bookmarkEnd w:id="0"/>
      <w:r w:rsidRPr="000D04CB">
        <w:rPr>
          <w:rFonts w:ascii="Times New Roman" w:hAnsi="Times New Roman" w:cs="Times New Roman"/>
          <w:i/>
          <w:sz w:val="24"/>
          <w:szCs w:val="24"/>
        </w:rPr>
        <w:t>o a manutenção das atividades da empresa com a geração de emprego e renda ao município até o cumprimento total dos encargos com renovação integral dos prazos.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b/>
          <w:sz w:val="24"/>
          <w:szCs w:val="24"/>
        </w:rPr>
        <w:t>Art. 9º</w:t>
      </w:r>
      <w:r w:rsidR="003A2B1E" w:rsidRPr="000D04CB">
        <w:rPr>
          <w:rFonts w:ascii="Times New Roman" w:hAnsi="Times New Roman" w:cs="Times New Roman"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sz w:val="24"/>
          <w:szCs w:val="24"/>
        </w:rPr>
        <w:t>A presente Lei entra em vigor na data de sua publicação, revogadas as disposições em contrário.</w:t>
      </w:r>
    </w:p>
    <w:p w:rsidR="001761F7" w:rsidRPr="000D04CB" w:rsidRDefault="001761F7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5EC0" w:rsidRPr="000D04CB" w:rsidRDefault="00625EC0" w:rsidP="001761F7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sz w:val="24"/>
          <w:szCs w:val="24"/>
        </w:rPr>
        <w:t xml:space="preserve">Da Secretaria da Câmara Municipal de Vereadores de Guarujá do Sul, Estado de Santa Catarina, aos </w:t>
      </w:r>
      <w:r w:rsidR="00463F35" w:rsidRPr="000D04CB">
        <w:rPr>
          <w:rFonts w:ascii="Times New Roman" w:hAnsi="Times New Roman" w:cs="Times New Roman"/>
          <w:sz w:val="24"/>
          <w:szCs w:val="24"/>
        </w:rPr>
        <w:t>15</w:t>
      </w:r>
      <w:r w:rsidR="000D04CB">
        <w:rPr>
          <w:rFonts w:ascii="Times New Roman" w:hAnsi="Times New Roman" w:cs="Times New Roman"/>
          <w:sz w:val="24"/>
          <w:szCs w:val="24"/>
        </w:rPr>
        <w:t xml:space="preserve"> </w:t>
      </w:r>
      <w:r w:rsidRPr="000D04CB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3A2B1E" w:rsidRPr="000D04CB">
        <w:rPr>
          <w:rFonts w:ascii="Times New Roman" w:hAnsi="Times New Roman" w:cs="Times New Roman"/>
          <w:sz w:val="24"/>
          <w:szCs w:val="24"/>
        </w:rPr>
        <w:t>dezembro</w:t>
      </w:r>
      <w:r w:rsidR="00B13442" w:rsidRPr="000D04CB">
        <w:rPr>
          <w:rFonts w:ascii="Times New Roman" w:hAnsi="Times New Roman" w:cs="Times New Roman"/>
          <w:sz w:val="24"/>
          <w:szCs w:val="24"/>
        </w:rPr>
        <w:t xml:space="preserve"> de 2020</w:t>
      </w:r>
      <w:r w:rsidRPr="000D04CB">
        <w:rPr>
          <w:rFonts w:ascii="Times New Roman" w:hAnsi="Times New Roman" w:cs="Times New Roman"/>
          <w:sz w:val="24"/>
          <w:szCs w:val="24"/>
        </w:rPr>
        <w:t>.</w:t>
      </w:r>
    </w:p>
    <w:p w:rsidR="00625EC0" w:rsidRPr="000D04CB" w:rsidRDefault="00625EC0" w:rsidP="001761F7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04CB">
        <w:rPr>
          <w:rFonts w:ascii="Times New Roman" w:hAnsi="Times New Roman" w:cs="Times New Roman"/>
          <w:sz w:val="24"/>
          <w:szCs w:val="24"/>
        </w:rPr>
        <w:t>Em sua 14ª Legis</w:t>
      </w:r>
      <w:r w:rsidR="006B7B7E" w:rsidRPr="000D04CB">
        <w:rPr>
          <w:rFonts w:ascii="Times New Roman" w:hAnsi="Times New Roman" w:cs="Times New Roman"/>
          <w:sz w:val="24"/>
          <w:szCs w:val="24"/>
        </w:rPr>
        <w:t>latura, 4ª Sessão Legislativa, 2</w:t>
      </w:r>
      <w:r w:rsidR="00B13442" w:rsidRPr="000D04CB">
        <w:rPr>
          <w:rFonts w:ascii="Times New Roman" w:hAnsi="Times New Roman" w:cs="Times New Roman"/>
          <w:sz w:val="24"/>
          <w:szCs w:val="24"/>
        </w:rPr>
        <w:t>º período, 57</w:t>
      </w:r>
      <w:r w:rsidRPr="000D04CB">
        <w:rPr>
          <w:rFonts w:ascii="Times New Roman" w:hAnsi="Times New Roman" w:cs="Times New Roman"/>
          <w:sz w:val="24"/>
          <w:szCs w:val="24"/>
        </w:rPr>
        <w:t xml:space="preserve">º ano de sua Instalação Legislativa. </w:t>
      </w:r>
    </w:p>
    <w:p w:rsidR="00DE5989" w:rsidRPr="000D04CB" w:rsidRDefault="00DE5989" w:rsidP="001761F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0D04CB" w:rsidTr="003A2B1E">
        <w:trPr>
          <w:jc w:val="center"/>
        </w:trPr>
        <w:tc>
          <w:tcPr>
            <w:tcW w:w="3794" w:type="dxa"/>
          </w:tcPr>
          <w:p w:rsidR="00160B86" w:rsidRPr="000D04CB" w:rsidRDefault="00160B86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0D04CB" w:rsidRDefault="00160B86" w:rsidP="001761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0D04CB" w:rsidRDefault="00160B86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</w:tc>
      </w:tr>
      <w:tr w:rsidR="00625EC0" w:rsidRPr="000D04CB" w:rsidTr="003A2B1E">
        <w:trPr>
          <w:jc w:val="center"/>
        </w:trPr>
        <w:tc>
          <w:tcPr>
            <w:tcW w:w="3794" w:type="dxa"/>
            <w:hideMark/>
          </w:tcPr>
          <w:p w:rsidR="00625EC0" w:rsidRPr="000D04CB" w:rsidRDefault="00625EC0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0D04CB" w:rsidRDefault="00625EC0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0D04CB" w:rsidRDefault="00625EC0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GILMAR KLAUS</w:t>
            </w:r>
          </w:p>
        </w:tc>
      </w:tr>
      <w:tr w:rsidR="00625EC0" w:rsidRPr="000D04CB" w:rsidTr="003A2B1E">
        <w:trPr>
          <w:jc w:val="center"/>
        </w:trPr>
        <w:tc>
          <w:tcPr>
            <w:tcW w:w="3794" w:type="dxa"/>
            <w:hideMark/>
          </w:tcPr>
          <w:p w:rsidR="00625EC0" w:rsidRPr="000D04CB" w:rsidRDefault="00625EC0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0D04CB" w:rsidRDefault="00625EC0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0D04CB" w:rsidRDefault="00625EC0" w:rsidP="003A2B1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FC150B"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Pr="000D04C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Secretário</w:t>
            </w:r>
          </w:p>
        </w:tc>
      </w:tr>
    </w:tbl>
    <w:p w:rsidR="004C20C4" w:rsidRPr="000D04CB" w:rsidRDefault="004C20C4" w:rsidP="001761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20C4" w:rsidRPr="000D04CB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178E2"/>
    <w:rsid w:val="00036E86"/>
    <w:rsid w:val="00071581"/>
    <w:rsid w:val="000B51D7"/>
    <w:rsid w:val="000D04CB"/>
    <w:rsid w:val="000F44BA"/>
    <w:rsid w:val="00103F0E"/>
    <w:rsid w:val="001164D8"/>
    <w:rsid w:val="00116B58"/>
    <w:rsid w:val="00124704"/>
    <w:rsid w:val="00125754"/>
    <w:rsid w:val="00160B86"/>
    <w:rsid w:val="00161379"/>
    <w:rsid w:val="001649DB"/>
    <w:rsid w:val="0017175A"/>
    <w:rsid w:val="00172A66"/>
    <w:rsid w:val="001761F7"/>
    <w:rsid w:val="001C57FD"/>
    <w:rsid w:val="001D18D1"/>
    <w:rsid w:val="00217DC9"/>
    <w:rsid w:val="00223637"/>
    <w:rsid w:val="00294638"/>
    <w:rsid w:val="002A7178"/>
    <w:rsid w:val="002B2660"/>
    <w:rsid w:val="002B3049"/>
    <w:rsid w:val="002B49B9"/>
    <w:rsid w:val="002E0C2B"/>
    <w:rsid w:val="002F3C63"/>
    <w:rsid w:val="0035447C"/>
    <w:rsid w:val="00363B88"/>
    <w:rsid w:val="0036405B"/>
    <w:rsid w:val="003662A0"/>
    <w:rsid w:val="003A2B1E"/>
    <w:rsid w:val="003E0EA9"/>
    <w:rsid w:val="004453C5"/>
    <w:rsid w:val="00463F35"/>
    <w:rsid w:val="004C110B"/>
    <w:rsid w:val="004C20C4"/>
    <w:rsid w:val="00540A60"/>
    <w:rsid w:val="00582B68"/>
    <w:rsid w:val="005F30B8"/>
    <w:rsid w:val="0060158A"/>
    <w:rsid w:val="00625EC0"/>
    <w:rsid w:val="00636FCF"/>
    <w:rsid w:val="00664A58"/>
    <w:rsid w:val="00665E80"/>
    <w:rsid w:val="0067222C"/>
    <w:rsid w:val="006868A4"/>
    <w:rsid w:val="006A6AF3"/>
    <w:rsid w:val="006B7B7E"/>
    <w:rsid w:val="006C382D"/>
    <w:rsid w:val="006D7F3C"/>
    <w:rsid w:val="006F5C0E"/>
    <w:rsid w:val="00703291"/>
    <w:rsid w:val="00727B05"/>
    <w:rsid w:val="007369C5"/>
    <w:rsid w:val="00741CCF"/>
    <w:rsid w:val="007A13E4"/>
    <w:rsid w:val="007C0077"/>
    <w:rsid w:val="007C0F0F"/>
    <w:rsid w:val="007D3E20"/>
    <w:rsid w:val="007D7EEA"/>
    <w:rsid w:val="007E7407"/>
    <w:rsid w:val="007F1C3C"/>
    <w:rsid w:val="0080471C"/>
    <w:rsid w:val="008132F9"/>
    <w:rsid w:val="00824382"/>
    <w:rsid w:val="00843529"/>
    <w:rsid w:val="008E0176"/>
    <w:rsid w:val="008E4D75"/>
    <w:rsid w:val="00916FD4"/>
    <w:rsid w:val="0094366C"/>
    <w:rsid w:val="00951D86"/>
    <w:rsid w:val="00960B88"/>
    <w:rsid w:val="009730F4"/>
    <w:rsid w:val="009A741F"/>
    <w:rsid w:val="009B25DE"/>
    <w:rsid w:val="009C13EB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30708"/>
    <w:rsid w:val="00B803AC"/>
    <w:rsid w:val="00BF48BC"/>
    <w:rsid w:val="00C0564E"/>
    <w:rsid w:val="00C0584A"/>
    <w:rsid w:val="00C1013F"/>
    <w:rsid w:val="00C51706"/>
    <w:rsid w:val="00CB4247"/>
    <w:rsid w:val="00D04CAC"/>
    <w:rsid w:val="00D23902"/>
    <w:rsid w:val="00DE5989"/>
    <w:rsid w:val="00DE691D"/>
    <w:rsid w:val="00E51F21"/>
    <w:rsid w:val="00E7570E"/>
    <w:rsid w:val="00E90961"/>
    <w:rsid w:val="00EB059A"/>
    <w:rsid w:val="00EC31BF"/>
    <w:rsid w:val="00EC4120"/>
    <w:rsid w:val="00EC4FD5"/>
    <w:rsid w:val="00EC7A48"/>
    <w:rsid w:val="00F223B7"/>
    <w:rsid w:val="00F36291"/>
    <w:rsid w:val="00F404D9"/>
    <w:rsid w:val="00F54862"/>
    <w:rsid w:val="00F770B7"/>
    <w:rsid w:val="00F857C0"/>
    <w:rsid w:val="00F9580B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8</cp:revision>
  <cp:lastPrinted>2020-12-14T18:42:00Z</cp:lastPrinted>
  <dcterms:created xsi:type="dcterms:W3CDTF">2020-12-11T11:23:00Z</dcterms:created>
  <dcterms:modified xsi:type="dcterms:W3CDTF">2020-12-14T19:18:00Z</dcterms:modified>
</cp:coreProperties>
</file>