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C5" w:rsidRPr="009C1BB9" w:rsidRDefault="004B6938" w:rsidP="00623925">
      <w:pPr>
        <w:pStyle w:val="Ttulo1"/>
        <w:jc w:val="both"/>
        <w:rPr>
          <w:rFonts w:ascii="Arial" w:hAnsi="Arial" w:cs="Arial"/>
          <w:b/>
          <w:bCs/>
          <w:szCs w:val="24"/>
        </w:rPr>
      </w:pPr>
      <w:r w:rsidRPr="009C1BB9">
        <w:rPr>
          <w:rFonts w:ascii="Arial" w:hAnsi="Arial" w:cs="Arial"/>
          <w:b/>
          <w:bCs/>
          <w:szCs w:val="24"/>
        </w:rPr>
        <w:t xml:space="preserve"> </w:t>
      </w:r>
    </w:p>
    <w:p w:rsidR="00345AC5" w:rsidRPr="009C1BB9" w:rsidRDefault="00345AC5" w:rsidP="006239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1BB9">
        <w:rPr>
          <w:rFonts w:ascii="Arial" w:hAnsi="Arial" w:cs="Arial"/>
          <w:b/>
          <w:sz w:val="24"/>
          <w:szCs w:val="24"/>
        </w:rPr>
        <w:t xml:space="preserve">REDAÇÃO FINAL AO PROJETO DE LEI Nº </w:t>
      </w:r>
      <w:r w:rsidR="001370AC" w:rsidRPr="009C1BB9">
        <w:rPr>
          <w:rFonts w:ascii="Arial" w:hAnsi="Arial" w:cs="Arial"/>
          <w:b/>
          <w:sz w:val="24"/>
          <w:szCs w:val="24"/>
        </w:rPr>
        <w:t>0</w:t>
      </w:r>
      <w:r w:rsidR="009857E1" w:rsidRPr="009C1BB9">
        <w:rPr>
          <w:rFonts w:ascii="Arial" w:hAnsi="Arial" w:cs="Arial"/>
          <w:b/>
          <w:sz w:val="24"/>
          <w:szCs w:val="24"/>
        </w:rPr>
        <w:t>5</w:t>
      </w:r>
      <w:r w:rsidR="001370AC" w:rsidRPr="009C1BB9">
        <w:rPr>
          <w:rFonts w:ascii="Arial" w:hAnsi="Arial" w:cs="Arial"/>
          <w:b/>
          <w:sz w:val="24"/>
          <w:szCs w:val="24"/>
        </w:rPr>
        <w:t>/2023</w:t>
      </w:r>
    </w:p>
    <w:p w:rsidR="00F7161C" w:rsidRPr="009C1BB9" w:rsidRDefault="00F7161C" w:rsidP="00623925">
      <w:pPr>
        <w:pStyle w:val="Ttulo1"/>
        <w:jc w:val="both"/>
        <w:rPr>
          <w:rFonts w:ascii="Arial" w:hAnsi="Arial" w:cs="Arial"/>
          <w:b/>
          <w:bCs/>
          <w:szCs w:val="24"/>
        </w:rPr>
      </w:pPr>
    </w:p>
    <w:p w:rsidR="00A47164" w:rsidRPr="009C1BB9" w:rsidRDefault="00A47164" w:rsidP="00024F86">
      <w:pPr>
        <w:pStyle w:val="Ttulo2"/>
        <w:ind w:left="3969"/>
        <w:rPr>
          <w:rFonts w:ascii="Arial" w:hAnsi="Arial" w:cs="Arial"/>
          <w:b/>
          <w:szCs w:val="24"/>
        </w:rPr>
      </w:pPr>
      <w:r w:rsidRPr="009C1BB9">
        <w:rPr>
          <w:rFonts w:ascii="Arial" w:hAnsi="Arial" w:cs="Arial"/>
          <w:b/>
          <w:szCs w:val="24"/>
        </w:rPr>
        <w:t xml:space="preserve">                </w:t>
      </w:r>
    </w:p>
    <w:p w:rsidR="00FE385A" w:rsidRPr="002923BC" w:rsidRDefault="00FE385A" w:rsidP="00FE385A">
      <w:pPr>
        <w:spacing w:after="0" w:line="24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2923BC">
        <w:rPr>
          <w:rFonts w:ascii="Arial" w:hAnsi="Arial" w:cs="Arial"/>
          <w:b/>
          <w:sz w:val="24"/>
          <w:szCs w:val="24"/>
        </w:rPr>
        <w:t xml:space="preserve">Dispõe sobre a aprovação do Plano Municipal de Gestão Integrada de Resíduos Sólidos (PMGIRS) do Município de Guarujá do Sul e dá outras providências. </w:t>
      </w:r>
    </w:p>
    <w:p w:rsidR="00FE385A" w:rsidRPr="009C1BB9" w:rsidRDefault="00FE385A" w:rsidP="00FE385A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345AC5" w:rsidRPr="009C1BB9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CC8" w:rsidRPr="009C1BB9" w:rsidRDefault="00345AC5" w:rsidP="0062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ab/>
      </w:r>
      <w:r w:rsidRPr="009C1BB9">
        <w:rPr>
          <w:rFonts w:ascii="Arial" w:hAnsi="Arial" w:cs="Arial"/>
          <w:sz w:val="24"/>
          <w:szCs w:val="24"/>
        </w:rPr>
        <w:tab/>
      </w:r>
      <w:r w:rsidR="001370AC" w:rsidRPr="009C1BB9">
        <w:rPr>
          <w:rFonts w:ascii="Arial" w:hAnsi="Arial" w:cs="Arial"/>
          <w:sz w:val="24"/>
          <w:szCs w:val="24"/>
        </w:rPr>
        <w:t>A</w:t>
      </w:r>
      <w:r w:rsidRPr="009C1BB9">
        <w:rPr>
          <w:rFonts w:ascii="Arial" w:hAnsi="Arial" w:cs="Arial"/>
          <w:b/>
          <w:sz w:val="24"/>
          <w:szCs w:val="24"/>
        </w:rPr>
        <w:t xml:space="preserve"> PRESIDENTE </w:t>
      </w:r>
      <w:r w:rsidRPr="009C1BB9"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3925" w:rsidRPr="009C1BB9" w:rsidRDefault="00623925" w:rsidP="0062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AC5" w:rsidRPr="009C1BB9" w:rsidRDefault="00345AC5" w:rsidP="0062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B9" w:rsidRPr="009C1BB9" w:rsidRDefault="009C1BB9" w:rsidP="009C1B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>Art. 1º Fica aprovado o Plano Municipal de Gestão Integrada de Resíduos Sólidos (PMGIRS) do Município de Guarujá do Sul, SC, parte integrante desta Lei, em conformidade com o disposto no art. 18 da Lei Federal nº 12.305, de 12 de agosto de 2010.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B9" w:rsidRPr="009C1BB9" w:rsidRDefault="009C1BB9" w:rsidP="009C1B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Art. 2º O PMGIRS é o instrumento de planejamento previsto na Política Nacional de Resíduos Sólidos - PNRS, Lei Federal nº 12.305/10, que antecede e subsidia as ações necessárias para a correta gestão das diferentes tipologias de resíduos gerados dentro do território municipal, compreendendo a coleta, transporte, o armazenamento e tratamento ambientalmente adequados dos resíduos sólidos, bem como a correta destinação e disposição final dos rejeitos.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B9" w:rsidRPr="009C1BB9" w:rsidRDefault="009C1BB9" w:rsidP="009C1B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Art. 3º A Política Municipal de Resíduos Sólidos é orientada pelos princípios e objetivos contidos nos artigos 6º e 7º da Lei Federal nº 12.305, de 2 de agosto de 2010. </w:t>
      </w:r>
    </w:p>
    <w:p w:rsidR="009C1BB9" w:rsidRPr="009C1BB9" w:rsidRDefault="009C1BB9" w:rsidP="009C1B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>§ 1º São princípios da Política Municipal de Resíduos Sólidos: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I - a prevenção e a precaução;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II - O poluidor-pagador e o protetor-recebedor;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III - a visão sistêmica, na gestão dos resíduos sólidos, que considere as variáveis ambiental, social, cultural, econômica, tecnológica e de saúde pública;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IV - o desenvolvimento sustentável;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V - a ecoeficiência, mediante a compatibilização entre o fornecimento, a preços competitivos, de bens e serviços qualificados que satisfaçam as necessidades humanas e tragam qualidade de vida e a redução do impacto ambiental e do consumo de recursos naturais a um nível, no mínimo, equivalente à capacidade de sustentação estimada do planeta;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VI - a cooperação entre as diferentes esferas do poder público, o setor empresarial e demais segmentos da sociedade;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VII - a responsabilidade compartilhada pelo ciclo de vida dos produtos;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VIII - o reconhecimento do resíduo sólido reutilizável e reciclável como um bem econômico e de valor social, gerador de trabalho e renda e promotor de cidadania;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lastRenderedPageBreak/>
        <w:t>IX - o respeito às diversidades locais e regionais;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>X - o direito da sociedade à informação e ao controle social;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>XI - a razoabilidade e a proporcionalidade.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§ 2º São objetivos da Política Municipal de Resíduos Sólidos: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I - proteção da saúde pública e da qualidade ambiental;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>II - não geração, redução, reutilização, reciclagem e tratamento dos resíduos sólidos, bem como disposição final ambientalmente adequada dos rejeitos;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III - estímulo à adoção de padrões sustentáveis de produção e consumo de bens e serviços;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IV - adoção, desenvolvimento e aprimoramento de tecnologias limpas como forma de minimizar impactos ambientais;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V - redução do volume e da periculosidade dos resíduos perigosos;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VI - incentivo à indústria da reciclagem, tendo em vista fomentar o uso de matérias-primas e insumos derivados de materiais recicláveis e reciclados;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VII - gestão integrada de resíduos sólidos;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VIII - articulação entre as diferentes esferas do poder público, e destas com o setor empresarial, com vistas à cooperação técnica e financeira para a gestão integrada de resíduos sólidos;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IX - capacitação técnica continuada na área de resíduos sólidos;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>X - regularidade, continuidade, funcionalidade e universalização da prestação dos serviços públicos de limpeza urbana e de manejo de resíduos sólidos, com adoção de mecanismos gerenciais e econômicos que assegurem a recuperação dos custos dos serviços prestados, como forma de garantir sua sustentabilidade operacional e financeira, observada a Lei nº 11.445, de 2007;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XI - prioridade, nas aquisições e contratações governamentais, para: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a) produtos reciclados e recicláveis;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b) bens, serviços e obras que considerem critérios compatíveis com padrões de consumo social e ambientalmente sustentáveis;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XII - integração dos catadores de materiais reutilizáveis e recicláveis nas ações que envolvam a responsabilidade compartilhada pelo ciclo de vida dos produtos;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XIII - estímulo à implementação da avaliação do ciclo de vida do produto;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XIV - incentivo ao desenvolvimento de sistemas de gestão ambiental e empresarial voltados para a melhoria dos processos produtivos e ao reaproveitamento dos resíduos sólidos, incluídos a recuperação e o aproveitamento energético;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XV - estímulo à rotulagem ambiental e ao consumo sustentável.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B9" w:rsidRPr="009C1BB9" w:rsidRDefault="009C1BB9" w:rsidP="009C1B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Art. 4º A concepção geral do PMGIRS (Plano Municipal de Gestão Integrada dos Resíduos Sólidos) tem o objetivo de definir as políticas gerais aplicáveis, as visões de curto, médio e longo prazos para as questões que envolvam a gestão de Resíduos Sólidos e os agentes responsáveis participantes.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B9" w:rsidRPr="009C1BB9" w:rsidRDefault="009C1BB9" w:rsidP="009C1B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 xml:space="preserve">Art. 5º O PMGIRS possui vigência por prazo indeterminado e horizonte de 20 (vinte) anos, com atualização prevista a cada 04 (quatro) anos. </w:t>
      </w:r>
    </w:p>
    <w:p w:rsidR="009C1BB9" w:rsidRPr="009C1BB9" w:rsidRDefault="009C1BB9" w:rsidP="009C1B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BB9" w:rsidRPr="009C1BB9" w:rsidRDefault="009C1BB9" w:rsidP="009C1B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lastRenderedPageBreak/>
        <w:t xml:space="preserve">Art. 6º Esta lei entra em vigor na data de sua publicação, revogando as disposições em contrário. </w:t>
      </w:r>
    </w:p>
    <w:p w:rsidR="00D326B2" w:rsidRPr="009C1BB9" w:rsidRDefault="00D326B2" w:rsidP="00623925">
      <w:pPr>
        <w:pStyle w:val="Default"/>
        <w:jc w:val="both"/>
        <w:rPr>
          <w:rFonts w:ascii="Arial" w:hAnsi="Arial" w:cs="Arial"/>
        </w:rPr>
      </w:pPr>
    </w:p>
    <w:p w:rsidR="00D326B2" w:rsidRPr="009C1BB9" w:rsidRDefault="00082054" w:rsidP="0062392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sz w:val="24"/>
          <w:szCs w:val="24"/>
        </w:rPr>
        <w:tab/>
      </w:r>
      <w:r w:rsidR="00345AC5" w:rsidRPr="009C1BB9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9C1BB9" w:rsidRPr="009C1BB9">
        <w:rPr>
          <w:rFonts w:ascii="Arial" w:hAnsi="Arial" w:cs="Arial"/>
          <w:sz w:val="24"/>
          <w:szCs w:val="24"/>
        </w:rPr>
        <w:t>10</w:t>
      </w:r>
      <w:r w:rsidR="00345AC5" w:rsidRPr="009C1BB9">
        <w:rPr>
          <w:rFonts w:ascii="Arial" w:hAnsi="Arial" w:cs="Arial"/>
          <w:sz w:val="24"/>
          <w:szCs w:val="24"/>
        </w:rPr>
        <w:t xml:space="preserve"> de </w:t>
      </w:r>
      <w:r w:rsidR="00024F86" w:rsidRPr="009C1BB9">
        <w:rPr>
          <w:rFonts w:ascii="Arial" w:hAnsi="Arial" w:cs="Arial"/>
          <w:sz w:val="24"/>
          <w:szCs w:val="24"/>
        </w:rPr>
        <w:t>março</w:t>
      </w:r>
      <w:r w:rsidR="00345AC5" w:rsidRPr="009C1BB9">
        <w:rPr>
          <w:rFonts w:ascii="Arial" w:hAnsi="Arial" w:cs="Arial"/>
          <w:sz w:val="24"/>
          <w:szCs w:val="24"/>
        </w:rPr>
        <w:t xml:space="preserve"> de 202</w:t>
      </w:r>
      <w:r w:rsidR="00D326B2" w:rsidRPr="009C1BB9">
        <w:rPr>
          <w:rFonts w:ascii="Arial" w:hAnsi="Arial" w:cs="Arial"/>
          <w:sz w:val="24"/>
          <w:szCs w:val="24"/>
        </w:rPr>
        <w:t>3</w:t>
      </w:r>
      <w:r w:rsidR="00345AC5" w:rsidRPr="009C1BB9">
        <w:rPr>
          <w:rFonts w:ascii="Arial" w:hAnsi="Arial" w:cs="Arial"/>
          <w:sz w:val="24"/>
          <w:szCs w:val="24"/>
        </w:rPr>
        <w:t>.</w:t>
      </w:r>
      <w:r w:rsidR="00623925" w:rsidRPr="009C1BB9">
        <w:rPr>
          <w:rFonts w:ascii="Arial" w:hAnsi="Arial" w:cs="Arial"/>
          <w:sz w:val="24"/>
          <w:szCs w:val="24"/>
        </w:rPr>
        <w:t xml:space="preserve"> </w:t>
      </w:r>
      <w:r w:rsidR="00D326B2" w:rsidRPr="009C1BB9">
        <w:rPr>
          <w:rFonts w:ascii="Arial" w:hAnsi="Arial" w:cs="Arial"/>
          <w:sz w:val="24"/>
          <w:szCs w:val="24"/>
        </w:rPr>
        <w:t>Em sua 15ª Legislatura, 3ª Sessão Legislativa, 2º Período, 60ª Instalação Legislativa.</w:t>
      </w:r>
    </w:p>
    <w:p w:rsidR="00345AC5" w:rsidRPr="009C1BB9" w:rsidRDefault="00345AC5" w:rsidP="0062392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345AC5" w:rsidRPr="009C1BB9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AC5" w:rsidRPr="009C1BB9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AC5" w:rsidRPr="009C1BB9" w:rsidRDefault="00345AC5" w:rsidP="006239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5AC5" w:rsidRPr="009C1BB9" w:rsidRDefault="001370AC" w:rsidP="0062392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1BB9">
        <w:rPr>
          <w:rFonts w:ascii="Arial" w:hAnsi="Arial" w:cs="Arial"/>
          <w:b/>
          <w:bCs/>
          <w:sz w:val="24"/>
          <w:szCs w:val="24"/>
        </w:rPr>
        <w:t>DALVANI ROBERTA LERMEN</w:t>
      </w:r>
      <w:r w:rsidR="00345AC5" w:rsidRPr="009C1BB9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9F329D" w:rsidRPr="009C1BB9">
        <w:rPr>
          <w:rFonts w:ascii="Arial" w:hAnsi="Arial" w:cs="Arial"/>
          <w:b/>
          <w:bCs/>
          <w:sz w:val="24"/>
          <w:szCs w:val="24"/>
        </w:rPr>
        <w:t>RODRIGO ANDRÉ LUNKES</w:t>
      </w:r>
    </w:p>
    <w:p w:rsidR="00345AC5" w:rsidRPr="009C1BB9" w:rsidRDefault="00345AC5" w:rsidP="00623925">
      <w:pPr>
        <w:jc w:val="both"/>
        <w:rPr>
          <w:rFonts w:ascii="Arial" w:hAnsi="Arial" w:cs="Arial"/>
          <w:sz w:val="24"/>
          <w:szCs w:val="24"/>
        </w:rPr>
      </w:pPr>
      <w:r w:rsidRPr="009C1BB9">
        <w:rPr>
          <w:rFonts w:ascii="Arial" w:hAnsi="Arial" w:cs="Arial"/>
          <w:bCs/>
          <w:sz w:val="24"/>
          <w:szCs w:val="24"/>
        </w:rPr>
        <w:t xml:space="preserve">                 </w:t>
      </w:r>
      <w:r w:rsidRPr="009C1BB9">
        <w:rPr>
          <w:rFonts w:ascii="Arial" w:hAnsi="Arial" w:cs="Arial"/>
          <w:bCs/>
          <w:sz w:val="24"/>
          <w:szCs w:val="24"/>
          <w:lang w:val="en-US"/>
        </w:rPr>
        <w:t xml:space="preserve">Presidente                                               </w:t>
      </w:r>
      <w:r w:rsidR="00D326B2" w:rsidRPr="009C1BB9">
        <w:rPr>
          <w:rFonts w:ascii="Arial" w:hAnsi="Arial" w:cs="Arial"/>
          <w:bCs/>
          <w:sz w:val="24"/>
          <w:szCs w:val="24"/>
          <w:lang w:val="en-US"/>
        </w:rPr>
        <w:t xml:space="preserve">                1ª Secretário</w:t>
      </w:r>
    </w:p>
    <w:p w:rsidR="00812EEB" w:rsidRPr="00140D78" w:rsidRDefault="00812EEB" w:rsidP="00345AC5">
      <w:pPr>
        <w:spacing w:after="0"/>
        <w:jc w:val="both"/>
        <w:rPr>
          <w:rFonts w:ascii="Courier New" w:hAnsi="Courier New"/>
          <w:sz w:val="18"/>
          <w:szCs w:val="18"/>
        </w:rPr>
      </w:pPr>
    </w:p>
    <w:sectPr w:rsidR="00812EEB" w:rsidRPr="00140D78" w:rsidSect="00345AC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134" w:bottom="1560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FE" w:rsidRDefault="00B656FE" w:rsidP="003653F4">
      <w:pPr>
        <w:spacing w:after="0" w:line="240" w:lineRule="auto"/>
      </w:pPr>
      <w:r>
        <w:separator/>
      </w:r>
    </w:p>
  </w:endnote>
  <w:endnote w:type="continuationSeparator" w:id="1">
    <w:p w:rsidR="00B656FE" w:rsidRDefault="00B656FE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FE" w:rsidRDefault="00B656FE" w:rsidP="003653F4">
      <w:pPr>
        <w:spacing w:after="0" w:line="240" w:lineRule="auto"/>
      </w:pPr>
      <w:r>
        <w:separator/>
      </w:r>
    </w:p>
  </w:footnote>
  <w:footnote w:type="continuationSeparator" w:id="1">
    <w:p w:rsidR="00B656FE" w:rsidRDefault="00B656FE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FC6F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240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 w:rsidP="00E02B4D">
    <w:pPr>
      <w:pStyle w:val="Cabealho"/>
    </w:pPr>
    <w:r>
      <w:rPr>
        <w:noProof/>
        <w:lang w:eastAsia="pt-BR"/>
      </w:rPr>
      <w:t xml:space="preserve">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FC6F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264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6839"/>
    <w:rsid w:val="00006E6D"/>
    <w:rsid w:val="00011240"/>
    <w:rsid w:val="00024F86"/>
    <w:rsid w:val="00082054"/>
    <w:rsid w:val="0008617C"/>
    <w:rsid w:val="00087E8E"/>
    <w:rsid w:val="00095CA4"/>
    <w:rsid w:val="000A035D"/>
    <w:rsid w:val="000A2B8F"/>
    <w:rsid w:val="000A4DD5"/>
    <w:rsid w:val="000D14EB"/>
    <w:rsid w:val="000D3D58"/>
    <w:rsid w:val="000D64FC"/>
    <w:rsid w:val="000E1A71"/>
    <w:rsid w:val="000E5870"/>
    <w:rsid w:val="00100993"/>
    <w:rsid w:val="001013AE"/>
    <w:rsid w:val="00103210"/>
    <w:rsid w:val="001059A8"/>
    <w:rsid w:val="00107CC9"/>
    <w:rsid w:val="00111834"/>
    <w:rsid w:val="0012640A"/>
    <w:rsid w:val="00131CC8"/>
    <w:rsid w:val="001370AC"/>
    <w:rsid w:val="00140D78"/>
    <w:rsid w:val="001535D4"/>
    <w:rsid w:val="0015574A"/>
    <w:rsid w:val="00160A15"/>
    <w:rsid w:val="00161F40"/>
    <w:rsid w:val="00167339"/>
    <w:rsid w:val="00176209"/>
    <w:rsid w:val="00181066"/>
    <w:rsid w:val="0018586B"/>
    <w:rsid w:val="001877AE"/>
    <w:rsid w:val="00187AAA"/>
    <w:rsid w:val="001A0FF4"/>
    <w:rsid w:val="001A625E"/>
    <w:rsid w:val="001B2094"/>
    <w:rsid w:val="001B7B2A"/>
    <w:rsid w:val="001C2037"/>
    <w:rsid w:val="001D3487"/>
    <w:rsid w:val="001F514D"/>
    <w:rsid w:val="001F7CFE"/>
    <w:rsid w:val="00205E2E"/>
    <w:rsid w:val="002111E3"/>
    <w:rsid w:val="00223125"/>
    <w:rsid w:val="00223B81"/>
    <w:rsid w:val="00244715"/>
    <w:rsid w:val="002735DB"/>
    <w:rsid w:val="0027549A"/>
    <w:rsid w:val="00283D5C"/>
    <w:rsid w:val="002923BC"/>
    <w:rsid w:val="00294860"/>
    <w:rsid w:val="00295D30"/>
    <w:rsid w:val="00297257"/>
    <w:rsid w:val="002A763D"/>
    <w:rsid w:val="002B0D39"/>
    <w:rsid w:val="002B0F6F"/>
    <w:rsid w:val="002B35F7"/>
    <w:rsid w:val="002B57EB"/>
    <w:rsid w:val="002D2F2A"/>
    <w:rsid w:val="002E41AB"/>
    <w:rsid w:val="00314FE5"/>
    <w:rsid w:val="00320A0E"/>
    <w:rsid w:val="0034599D"/>
    <w:rsid w:val="00345AC5"/>
    <w:rsid w:val="003513F2"/>
    <w:rsid w:val="003653F4"/>
    <w:rsid w:val="00371C9A"/>
    <w:rsid w:val="003734DB"/>
    <w:rsid w:val="003814FC"/>
    <w:rsid w:val="00395ED8"/>
    <w:rsid w:val="003A1CFD"/>
    <w:rsid w:val="003C087F"/>
    <w:rsid w:val="003C3D56"/>
    <w:rsid w:val="003F1304"/>
    <w:rsid w:val="003F1DD9"/>
    <w:rsid w:val="003F3238"/>
    <w:rsid w:val="003F42FC"/>
    <w:rsid w:val="00406839"/>
    <w:rsid w:val="00407753"/>
    <w:rsid w:val="004201B9"/>
    <w:rsid w:val="00431C90"/>
    <w:rsid w:val="00437B3B"/>
    <w:rsid w:val="004403E3"/>
    <w:rsid w:val="00490FDE"/>
    <w:rsid w:val="00491241"/>
    <w:rsid w:val="00496BCF"/>
    <w:rsid w:val="00496CDD"/>
    <w:rsid w:val="00497C80"/>
    <w:rsid w:val="004A3190"/>
    <w:rsid w:val="004B07EC"/>
    <w:rsid w:val="004B6938"/>
    <w:rsid w:val="004B7EB7"/>
    <w:rsid w:val="004F546E"/>
    <w:rsid w:val="005158B2"/>
    <w:rsid w:val="005226E1"/>
    <w:rsid w:val="00523D4F"/>
    <w:rsid w:val="00535B78"/>
    <w:rsid w:val="00537370"/>
    <w:rsid w:val="00547A85"/>
    <w:rsid w:val="005729B8"/>
    <w:rsid w:val="00572F76"/>
    <w:rsid w:val="00574D43"/>
    <w:rsid w:val="00577C2D"/>
    <w:rsid w:val="005915F2"/>
    <w:rsid w:val="005A19EE"/>
    <w:rsid w:val="005A58AD"/>
    <w:rsid w:val="005A59E0"/>
    <w:rsid w:val="005B1F36"/>
    <w:rsid w:val="005B2318"/>
    <w:rsid w:val="005C5D56"/>
    <w:rsid w:val="005F09E1"/>
    <w:rsid w:val="00605A2F"/>
    <w:rsid w:val="0060799E"/>
    <w:rsid w:val="00623925"/>
    <w:rsid w:val="00627373"/>
    <w:rsid w:val="00631A65"/>
    <w:rsid w:val="00632414"/>
    <w:rsid w:val="00645179"/>
    <w:rsid w:val="00646BCA"/>
    <w:rsid w:val="00671D6A"/>
    <w:rsid w:val="00680079"/>
    <w:rsid w:val="006819C4"/>
    <w:rsid w:val="00697599"/>
    <w:rsid w:val="006A0B20"/>
    <w:rsid w:val="006B325C"/>
    <w:rsid w:val="006D0F5B"/>
    <w:rsid w:val="00714012"/>
    <w:rsid w:val="007340AC"/>
    <w:rsid w:val="007555BF"/>
    <w:rsid w:val="00755ECF"/>
    <w:rsid w:val="00757098"/>
    <w:rsid w:val="00760100"/>
    <w:rsid w:val="00760AC7"/>
    <w:rsid w:val="00761AD7"/>
    <w:rsid w:val="00763C58"/>
    <w:rsid w:val="00790717"/>
    <w:rsid w:val="007A03D9"/>
    <w:rsid w:val="007A6408"/>
    <w:rsid w:val="007B6E9E"/>
    <w:rsid w:val="007B7E64"/>
    <w:rsid w:val="007D07DE"/>
    <w:rsid w:val="007D3E97"/>
    <w:rsid w:val="007F6B86"/>
    <w:rsid w:val="00805DF1"/>
    <w:rsid w:val="00810221"/>
    <w:rsid w:val="00812EEB"/>
    <w:rsid w:val="008378AF"/>
    <w:rsid w:val="00842CBD"/>
    <w:rsid w:val="00853AAC"/>
    <w:rsid w:val="00856CA8"/>
    <w:rsid w:val="008866E0"/>
    <w:rsid w:val="008A7B3B"/>
    <w:rsid w:val="008B1385"/>
    <w:rsid w:val="008C7D1D"/>
    <w:rsid w:val="008E5BFB"/>
    <w:rsid w:val="00901A5D"/>
    <w:rsid w:val="00915A5B"/>
    <w:rsid w:val="00927531"/>
    <w:rsid w:val="00957925"/>
    <w:rsid w:val="00967AA7"/>
    <w:rsid w:val="009857E1"/>
    <w:rsid w:val="009A777D"/>
    <w:rsid w:val="009B4E96"/>
    <w:rsid w:val="009C1BB9"/>
    <w:rsid w:val="009F084F"/>
    <w:rsid w:val="009F1093"/>
    <w:rsid w:val="009F329D"/>
    <w:rsid w:val="00A04526"/>
    <w:rsid w:val="00A05AE1"/>
    <w:rsid w:val="00A225D4"/>
    <w:rsid w:val="00A306F2"/>
    <w:rsid w:val="00A31ACA"/>
    <w:rsid w:val="00A31EC5"/>
    <w:rsid w:val="00A44F5F"/>
    <w:rsid w:val="00A47164"/>
    <w:rsid w:val="00A575A9"/>
    <w:rsid w:val="00A70B25"/>
    <w:rsid w:val="00A842D6"/>
    <w:rsid w:val="00A865A4"/>
    <w:rsid w:val="00A92B34"/>
    <w:rsid w:val="00A957DA"/>
    <w:rsid w:val="00AA417B"/>
    <w:rsid w:val="00AC4707"/>
    <w:rsid w:val="00AD6B9A"/>
    <w:rsid w:val="00AF0C29"/>
    <w:rsid w:val="00AF3127"/>
    <w:rsid w:val="00AF4FF9"/>
    <w:rsid w:val="00B0550A"/>
    <w:rsid w:val="00B12E55"/>
    <w:rsid w:val="00B14CC0"/>
    <w:rsid w:val="00B343F9"/>
    <w:rsid w:val="00B5027C"/>
    <w:rsid w:val="00B62068"/>
    <w:rsid w:val="00B63143"/>
    <w:rsid w:val="00B656FE"/>
    <w:rsid w:val="00B74942"/>
    <w:rsid w:val="00BC37DC"/>
    <w:rsid w:val="00BC7618"/>
    <w:rsid w:val="00BE5079"/>
    <w:rsid w:val="00BE5C45"/>
    <w:rsid w:val="00BF5735"/>
    <w:rsid w:val="00C1107F"/>
    <w:rsid w:val="00C23AA9"/>
    <w:rsid w:val="00C52950"/>
    <w:rsid w:val="00C748A6"/>
    <w:rsid w:val="00C95B8B"/>
    <w:rsid w:val="00CA38B6"/>
    <w:rsid w:val="00CB04A2"/>
    <w:rsid w:val="00CC7BAB"/>
    <w:rsid w:val="00CF79DC"/>
    <w:rsid w:val="00D027A8"/>
    <w:rsid w:val="00D02855"/>
    <w:rsid w:val="00D10248"/>
    <w:rsid w:val="00D1067B"/>
    <w:rsid w:val="00D26254"/>
    <w:rsid w:val="00D326B2"/>
    <w:rsid w:val="00D34156"/>
    <w:rsid w:val="00D46A32"/>
    <w:rsid w:val="00D57E0F"/>
    <w:rsid w:val="00D7129A"/>
    <w:rsid w:val="00D72F27"/>
    <w:rsid w:val="00D969B8"/>
    <w:rsid w:val="00DA0184"/>
    <w:rsid w:val="00DB0438"/>
    <w:rsid w:val="00DD65E5"/>
    <w:rsid w:val="00E02B4D"/>
    <w:rsid w:val="00E06B96"/>
    <w:rsid w:val="00E07046"/>
    <w:rsid w:val="00E1352D"/>
    <w:rsid w:val="00E32566"/>
    <w:rsid w:val="00E4685F"/>
    <w:rsid w:val="00E51D10"/>
    <w:rsid w:val="00E61829"/>
    <w:rsid w:val="00E77751"/>
    <w:rsid w:val="00E815FC"/>
    <w:rsid w:val="00E8367D"/>
    <w:rsid w:val="00EB14A2"/>
    <w:rsid w:val="00EB7FCA"/>
    <w:rsid w:val="00EC1442"/>
    <w:rsid w:val="00EC16C1"/>
    <w:rsid w:val="00EC414D"/>
    <w:rsid w:val="00EE271D"/>
    <w:rsid w:val="00EE687F"/>
    <w:rsid w:val="00F00E07"/>
    <w:rsid w:val="00F16B33"/>
    <w:rsid w:val="00F2589C"/>
    <w:rsid w:val="00F2778B"/>
    <w:rsid w:val="00F320B7"/>
    <w:rsid w:val="00F4359B"/>
    <w:rsid w:val="00F57F9C"/>
    <w:rsid w:val="00F623C1"/>
    <w:rsid w:val="00F64811"/>
    <w:rsid w:val="00F66881"/>
    <w:rsid w:val="00F71083"/>
    <w:rsid w:val="00F7161C"/>
    <w:rsid w:val="00F76BCD"/>
    <w:rsid w:val="00F8139F"/>
    <w:rsid w:val="00F850A6"/>
    <w:rsid w:val="00FA24C3"/>
    <w:rsid w:val="00FA2AC3"/>
    <w:rsid w:val="00FA35BF"/>
    <w:rsid w:val="00FC6F9A"/>
    <w:rsid w:val="00FC7290"/>
    <w:rsid w:val="00FD7A3D"/>
    <w:rsid w:val="00FE12F7"/>
    <w:rsid w:val="00FE385A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  <w:style w:type="paragraph" w:styleId="Corpodetexto">
    <w:name w:val="Body Text"/>
    <w:basedOn w:val="Normal"/>
    <w:link w:val="CorpodetextoChar"/>
    <w:unhideWhenUsed/>
    <w:rsid w:val="001370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370AC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70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70AC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26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26B2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A035D"/>
    <w:rPr>
      <w:sz w:val="22"/>
      <w:szCs w:val="22"/>
      <w:lang w:eastAsia="en-US"/>
    </w:rPr>
  </w:style>
  <w:style w:type="paragraph" w:customStyle="1" w:styleId="Default">
    <w:name w:val="Default"/>
    <w:rsid w:val="000A035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&#226;mara\Documents\Documentos%202022\Reda&#231;&#245;es%20Finais%202022\PROJETO%20DE%20LEI%20.%20EXECUTIVO\Projeto%203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0C57-57D4-4CF8-BB41-0A7EE946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33</Template>
  <TotalTime>36</TotalTime>
  <Pages>3</Pages>
  <Words>868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2023-02-22T16:28:00Z</cp:lastPrinted>
  <dcterms:created xsi:type="dcterms:W3CDTF">2023-03-10T14:21:00Z</dcterms:created>
  <dcterms:modified xsi:type="dcterms:W3CDTF">2023-03-10T14:35:00Z</dcterms:modified>
</cp:coreProperties>
</file>