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AF5956" w:rsidRDefault="009774B1" w:rsidP="00AF5956">
      <w:pPr>
        <w:pStyle w:val="Jurisprudncias"/>
        <w:rPr>
          <w:rFonts w:ascii="Times New Roman" w:hAnsi="Times New Roman" w:cs="Times New Roman"/>
        </w:rPr>
      </w:pPr>
    </w:p>
    <w:p w:rsidR="008827A5" w:rsidRPr="00AF5956" w:rsidRDefault="008827A5" w:rsidP="00AF595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F5956">
        <w:rPr>
          <w:rFonts w:ascii="Times New Roman" w:hAnsi="Times New Roman" w:cs="Times New Roman"/>
          <w:b/>
          <w:szCs w:val="24"/>
        </w:rPr>
        <w:t>REDA</w:t>
      </w:r>
      <w:r w:rsidR="00AB1EE8" w:rsidRPr="00AF5956">
        <w:rPr>
          <w:rFonts w:ascii="Times New Roman" w:hAnsi="Times New Roman" w:cs="Times New Roman"/>
          <w:b/>
          <w:szCs w:val="24"/>
        </w:rPr>
        <w:t xml:space="preserve">ÇÃO FINAL AO PROJETO DE LEI Nº </w:t>
      </w:r>
      <w:r w:rsidR="00AF5956" w:rsidRPr="00AF5956">
        <w:rPr>
          <w:rFonts w:ascii="Times New Roman" w:hAnsi="Times New Roman" w:cs="Times New Roman"/>
          <w:b/>
          <w:szCs w:val="24"/>
        </w:rPr>
        <w:t>35</w:t>
      </w:r>
      <w:r w:rsidRPr="00AF5956">
        <w:rPr>
          <w:rFonts w:ascii="Times New Roman" w:hAnsi="Times New Roman" w:cs="Times New Roman"/>
          <w:b/>
          <w:szCs w:val="24"/>
        </w:rPr>
        <w:t>/2023</w:t>
      </w:r>
    </w:p>
    <w:p w:rsidR="008827A5" w:rsidRPr="00AF5956" w:rsidRDefault="008827A5" w:rsidP="00AF5956">
      <w:pPr>
        <w:pStyle w:val="Ttulo2"/>
        <w:numPr>
          <w:ilvl w:val="0"/>
          <w:numId w:val="0"/>
        </w:numPr>
        <w:spacing w:line="240" w:lineRule="auto"/>
        <w:ind w:left="3969"/>
        <w:rPr>
          <w:rFonts w:ascii="Times New Roman" w:hAnsi="Times New Roman" w:cs="Times New Roman"/>
          <w:szCs w:val="24"/>
        </w:rPr>
      </w:pPr>
      <w:r w:rsidRPr="00AF5956">
        <w:rPr>
          <w:rFonts w:ascii="Times New Roman" w:hAnsi="Times New Roman" w:cs="Times New Roman"/>
          <w:szCs w:val="24"/>
        </w:rPr>
        <w:t xml:space="preserve">            </w:t>
      </w:r>
    </w:p>
    <w:p w:rsidR="00951E43" w:rsidRPr="00AF5956" w:rsidRDefault="00951E43" w:rsidP="00AF5956">
      <w:pPr>
        <w:spacing w:line="240" w:lineRule="auto"/>
        <w:rPr>
          <w:rFonts w:ascii="Times New Roman" w:hAnsi="Times New Roman" w:cs="Times New Roman"/>
          <w:b/>
        </w:rPr>
      </w:pPr>
    </w:p>
    <w:p w:rsidR="00AF5956" w:rsidRPr="00AF5956" w:rsidRDefault="00AF5956" w:rsidP="00AF5956">
      <w:pPr>
        <w:spacing w:line="240" w:lineRule="auto"/>
        <w:ind w:left="2126"/>
        <w:rPr>
          <w:rFonts w:ascii="Times New Roman" w:hAnsi="Times New Roman" w:cs="Times New Roman"/>
        </w:rPr>
      </w:pPr>
      <w:r w:rsidRPr="00AF5956">
        <w:rPr>
          <w:rFonts w:ascii="Times New Roman" w:hAnsi="Times New Roman" w:cs="Times New Roman"/>
          <w:b/>
        </w:rPr>
        <w:t>Aprova Plano de Loteamento e Autorização para concessão de licença da outras providencias.</w:t>
      </w:r>
    </w:p>
    <w:p w:rsidR="00951E43" w:rsidRPr="00AF5956" w:rsidRDefault="00951E43" w:rsidP="00AF5956">
      <w:pPr>
        <w:spacing w:line="240" w:lineRule="auto"/>
        <w:ind w:left="2268"/>
        <w:rPr>
          <w:rFonts w:ascii="Times New Roman" w:hAnsi="Times New Roman" w:cs="Times New Roman"/>
          <w:b/>
          <w:szCs w:val="24"/>
        </w:rPr>
      </w:pPr>
    </w:p>
    <w:p w:rsidR="008827A5" w:rsidRPr="00AF5956" w:rsidRDefault="008827A5" w:rsidP="00AF5956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827A5" w:rsidRPr="00AF5956" w:rsidRDefault="008827A5" w:rsidP="00AF5956">
      <w:pPr>
        <w:spacing w:line="240" w:lineRule="auto"/>
        <w:rPr>
          <w:rFonts w:ascii="Times New Roman" w:hAnsi="Times New Roman" w:cs="Times New Roman"/>
          <w:szCs w:val="24"/>
        </w:rPr>
      </w:pPr>
      <w:r w:rsidRPr="00AF5956">
        <w:rPr>
          <w:rFonts w:ascii="Times New Roman" w:hAnsi="Times New Roman" w:cs="Times New Roman"/>
          <w:szCs w:val="24"/>
        </w:rPr>
        <w:tab/>
      </w:r>
      <w:r w:rsidRPr="00AF5956">
        <w:rPr>
          <w:rFonts w:ascii="Times New Roman" w:hAnsi="Times New Roman" w:cs="Times New Roman"/>
          <w:szCs w:val="24"/>
        </w:rPr>
        <w:tab/>
        <w:t>A</w:t>
      </w:r>
      <w:r w:rsidRPr="00AF5956">
        <w:rPr>
          <w:rFonts w:ascii="Times New Roman" w:hAnsi="Times New Roman" w:cs="Times New Roman"/>
          <w:b/>
          <w:szCs w:val="24"/>
        </w:rPr>
        <w:t xml:space="preserve"> PRESIDENTE </w:t>
      </w:r>
      <w:r w:rsidRPr="00AF5956">
        <w:rPr>
          <w:rFonts w:ascii="Times New Roman" w:hAnsi="Times New Roman" w:cs="Times New Roman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AF5956" w:rsidRDefault="00AC332F" w:rsidP="00AF5956">
      <w:pPr>
        <w:pStyle w:val="Jurisprudncias"/>
        <w:rPr>
          <w:rFonts w:ascii="Times New Roman" w:hAnsi="Times New Roman" w:cs="Times New Roman"/>
          <w:szCs w:val="24"/>
        </w:rPr>
      </w:pP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  <w:r w:rsidRPr="00AF5956">
        <w:t xml:space="preserve">Art. 1º Fica aprovado o Loteamento denominado “LOTEAMENTO NOSSA SENHORA APARECIDA”, de propriedade de </w:t>
      </w:r>
      <w:r w:rsidRPr="00AF5956">
        <w:rPr>
          <w:b/>
          <w:bCs/>
        </w:rPr>
        <w:t xml:space="preserve">PEDRINHO GRAEFF, </w:t>
      </w:r>
      <w:r w:rsidRPr="00AF5956">
        <w:t>inscrito no CPF sob nº 526.451.509-34</w:t>
      </w:r>
      <w:r w:rsidRPr="00AF5956">
        <w:rPr>
          <w:b/>
          <w:bCs/>
        </w:rPr>
        <w:t xml:space="preserve"> e JOÃO FEIX e sua esposa CLARICE FEIX, </w:t>
      </w:r>
      <w:r w:rsidRPr="00AF5956">
        <w:t>inscritos nos CPFs sob nºs 308.094.369-49 e 015.129.15-47</w:t>
      </w:r>
      <w:r w:rsidRPr="00AF5956">
        <w:rPr>
          <w:b/>
        </w:rPr>
        <w:t>,</w:t>
      </w:r>
      <w:r w:rsidRPr="00AF5956">
        <w:t xml:space="preserve"> a ser executado sobre a parte da Chácara nº 01 “A”, com área de 43.656,42 m², objeto da matrícula n° 15.384, do cartório de registro de imóveis da Comarca de São José do Cedro – SC, localizado no perímetro urbano da cidade de Guarujá do Sul (SC).</w:t>
      </w: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  <w:r w:rsidRPr="00AF5956">
        <w:t xml:space="preserve">§ 1º O loteamento possui área total de </w:t>
      </w:r>
      <w:r w:rsidRPr="00AF5956">
        <w:rPr>
          <w:b/>
          <w:bCs/>
        </w:rPr>
        <w:t>43.656,42m² (quarenta e três mil, seiscentos e cinquenta e seis metros e quarenta e dois decímetros quadrados)</w:t>
      </w:r>
      <w:r w:rsidRPr="00AF5956">
        <w:t xml:space="preserve">, dos quais </w:t>
      </w:r>
      <w:r w:rsidRPr="00AF5956">
        <w:rPr>
          <w:b/>
          <w:bCs/>
        </w:rPr>
        <w:t>6.124,32m², ou 14,03%em áreas de circulação (arruamento), 5.066,42m², ou 11,61%de área verde, 2.857,82m² ou 6,55%de área institucional, 5.226,13m², ou 11,97% de área de reposição florestal, perfazendo um total de 19.274,69m², que corresponde a 44,15% de área pública, e 24.381,73m² ou 55,85%</w:t>
      </w:r>
      <w:r w:rsidRPr="00AF5956">
        <w:t xml:space="preserve"> de áreas de lotes vendáveis, num total de 55 lotes edificáveis. </w:t>
      </w: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  <w:r w:rsidRPr="00AF5956">
        <w:t>§ 2º A subdivisão da área resultara em 04 quadras numeradas de 01 a 04, e em um total geral de 58 lotes, numerados de 05 a 62, sendo 55 lotes vendáveis, 01 lote destinado à área verde, correspondendo ao lote 16 da quadra 0101 lote de área de reposição florestal, correspondendo ao lote 13 da quadra 01, e 01 lote de área institucional, correspondendo ao lote 05 da quadra 01.</w:t>
      </w: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  <w:r w:rsidRPr="00AF5956">
        <w:t>§ 3º A área loteada situa-se na ZR 6 (zona residencial 6) da cidade de Guarujá do Sul, e terá os usos previstos para aquela região, conforme o plano diretor do município.</w:t>
      </w: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  <w:r w:rsidRPr="00AF5956">
        <w:t>Art. 2º O presente loteamento é interceptado pela ampliação da Rua João Panegaz, com seção transversal de 15,0 metros, da Rua Renata Wikowscki Pagno, com seção transversal de 12,0 metros e da Rua Darci Cavaglier com seção transversal de 15,0 metrosque farão parte do referido loteamento.</w:t>
      </w: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  <w:r w:rsidRPr="00AF5956">
        <w:t>Art. 3º Fazem parte da presente Lei os seguintes documentos: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I – Certidão Atualizada do Imóvel;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II - Projeto da rede de abastecimento de água aprovado pela CASAN S.A;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III – Projeto de rede de distribuição de energia elétrica aprovado pela CELESC S.A.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IV - Licenças Ambientais LAP nº 1.125/2021 e LAI nº  388/2022;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lastRenderedPageBreak/>
        <w:t>V - Memorial descritivo do Loteamento;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VI – Termo de responsabilidade para Execução de Infraestrutura;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VII – Certidões Negativas;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VIII– A.R.T.s dos profissionais responsáveis pelo projeto do Loteamento;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 xml:space="preserve">IX – Pranchas, contendo a planta de situação, confrontações, planta baixa; as curvas de níveis; detalhes urbanísticos; plantas das áreas verdes; 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X – Projeto de terraplanagem;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XI – Projeto de drenagem pluvial; detalhes da drenagem pluvial e perfil das Ruas;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XII – Projeto básico de pavimentação com pedras irregulares e sinalização vertical e horizontal;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  <w:r w:rsidRPr="00AF5956">
        <w:t>XIII – Projeto do sistema de tratamento dos efluentes domésticos.</w:t>
      </w:r>
    </w:p>
    <w:p w:rsidR="00AF5956" w:rsidRPr="00AF5956" w:rsidRDefault="00AF5956" w:rsidP="00AF5956">
      <w:pPr>
        <w:pStyle w:val="Recuodecorpodetexto2"/>
        <w:spacing w:after="0" w:line="240" w:lineRule="auto"/>
        <w:ind w:left="0"/>
        <w:jc w:val="both"/>
      </w:pPr>
    </w:p>
    <w:p w:rsidR="00AF5956" w:rsidRPr="00AF5956" w:rsidRDefault="00AF5956" w:rsidP="00AF5956">
      <w:pPr>
        <w:pStyle w:val="Recuodecorpodetexto2"/>
        <w:spacing w:after="0" w:line="240" w:lineRule="auto"/>
        <w:ind w:left="0" w:firstLine="2124"/>
        <w:jc w:val="both"/>
      </w:pPr>
      <w:r w:rsidRPr="00AF5956">
        <w:t>Art. 3º Esta Lei entrará em vigor na data de sua publicação, ficando revogadas as disposições em contrário.</w:t>
      </w:r>
    </w:p>
    <w:p w:rsidR="009774B1" w:rsidRPr="00AF5956" w:rsidRDefault="009774B1" w:rsidP="00AF5956">
      <w:pPr>
        <w:pStyle w:val="Jurisprudncias"/>
        <w:rPr>
          <w:rFonts w:ascii="Times New Roman" w:hAnsi="Times New Roman" w:cs="Times New Roman"/>
          <w:szCs w:val="24"/>
        </w:rPr>
      </w:pPr>
    </w:p>
    <w:p w:rsidR="00963CBA" w:rsidRPr="00AF5956" w:rsidRDefault="00963CBA" w:rsidP="00AF5956">
      <w:pPr>
        <w:pStyle w:val="Jurisprudncias"/>
        <w:rPr>
          <w:rFonts w:ascii="Times New Roman" w:hAnsi="Times New Roman" w:cs="Times New Roman"/>
          <w:szCs w:val="24"/>
        </w:rPr>
      </w:pPr>
    </w:p>
    <w:p w:rsidR="008827A5" w:rsidRPr="00AF5956" w:rsidRDefault="008827A5" w:rsidP="00AF5956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  <w:r w:rsidRPr="00AF5956">
        <w:rPr>
          <w:rFonts w:ascii="Times New Roman" w:hAnsi="Times New Roman" w:cs="Times New Roman"/>
          <w:szCs w:val="24"/>
        </w:rPr>
        <w:t xml:space="preserve">Da Secretaria da Câmara Municipal de Vereadores de Guarujá do Sul, Estado de Santa Catarina, </w:t>
      </w:r>
      <w:r w:rsidR="00AF5956" w:rsidRPr="00AF5956">
        <w:rPr>
          <w:rFonts w:ascii="Times New Roman" w:hAnsi="Times New Roman" w:cs="Times New Roman"/>
          <w:szCs w:val="24"/>
        </w:rPr>
        <w:t>01</w:t>
      </w:r>
      <w:r w:rsidR="00AB1EE8" w:rsidRPr="00AF5956">
        <w:rPr>
          <w:rFonts w:ascii="Times New Roman" w:hAnsi="Times New Roman" w:cs="Times New Roman"/>
          <w:szCs w:val="24"/>
        </w:rPr>
        <w:t xml:space="preserve"> de </w:t>
      </w:r>
      <w:r w:rsidR="00AF5956" w:rsidRPr="00AF5956">
        <w:rPr>
          <w:rFonts w:ascii="Times New Roman" w:hAnsi="Times New Roman" w:cs="Times New Roman"/>
          <w:szCs w:val="24"/>
        </w:rPr>
        <w:t>agosto</w:t>
      </w:r>
      <w:r w:rsidRPr="00AF5956">
        <w:rPr>
          <w:rFonts w:ascii="Times New Roman" w:hAnsi="Times New Roman" w:cs="Times New Roman"/>
          <w:szCs w:val="24"/>
        </w:rPr>
        <w:t xml:space="preserve"> de 2023. Em sua 15ª Legislatura, 3ª Sessão Legislativa, 2º Período, 60ª Instalação Legislativa.</w:t>
      </w:r>
    </w:p>
    <w:p w:rsidR="008827A5" w:rsidRPr="00AF5956" w:rsidRDefault="008827A5" w:rsidP="00AF5956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</w:p>
    <w:p w:rsidR="00AF5956" w:rsidRPr="00AF5956" w:rsidRDefault="00AF5956" w:rsidP="00AF5956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</w:p>
    <w:p w:rsidR="00AF5956" w:rsidRPr="00AF5956" w:rsidRDefault="00AF5956" w:rsidP="00AF5956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</w:p>
    <w:p w:rsidR="008827A5" w:rsidRPr="00AF5956" w:rsidRDefault="008827A5" w:rsidP="00AF5956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B1EE8" w:rsidRPr="00AF5956" w:rsidRDefault="00AB1EE8" w:rsidP="00AF5956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AF5956">
        <w:rPr>
          <w:rFonts w:ascii="Times New Roman" w:hAnsi="Times New Roman" w:cs="Times New Roman"/>
          <w:b/>
          <w:bCs/>
          <w:szCs w:val="24"/>
        </w:rPr>
        <w:t>DALVÂ</w:t>
      </w:r>
      <w:r w:rsidR="008827A5" w:rsidRPr="00AF5956">
        <w:rPr>
          <w:rFonts w:ascii="Times New Roman" w:hAnsi="Times New Roman" w:cs="Times New Roman"/>
          <w:b/>
          <w:bCs/>
          <w:szCs w:val="24"/>
        </w:rPr>
        <w:t>NI ROBERTA LERMEN</w:t>
      </w:r>
      <w:r w:rsidRPr="00AF5956">
        <w:rPr>
          <w:rFonts w:ascii="Times New Roman" w:hAnsi="Times New Roman" w:cs="Times New Roman"/>
          <w:b/>
          <w:bCs/>
          <w:szCs w:val="24"/>
        </w:rPr>
        <w:t xml:space="preserve">             RODRIGO ANDRÉ LUNKES</w:t>
      </w:r>
    </w:p>
    <w:p w:rsidR="009774B1" w:rsidRPr="00AF5956" w:rsidRDefault="00AF5956" w:rsidP="00AF5956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AF5956">
        <w:rPr>
          <w:rFonts w:ascii="Times New Roman" w:hAnsi="Times New Roman" w:cs="Times New Roman"/>
          <w:bCs/>
          <w:szCs w:val="24"/>
        </w:rPr>
        <w:t xml:space="preserve">        </w:t>
      </w:r>
      <w:r w:rsidR="00951E43" w:rsidRPr="00AF5956">
        <w:rPr>
          <w:rFonts w:ascii="Times New Roman" w:hAnsi="Times New Roman" w:cs="Times New Roman"/>
          <w:bCs/>
          <w:szCs w:val="24"/>
        </w:rPr>
        <w:t xml:space="preserve"> </w:t>
      </w:r>
      <w:r w:rsidR="00AB1EE8" w:rsidRPr="00AF5956">
        <w:rPr>
          <w:rFonts w:ascii="Times New Roman" w:hAnsi="Times New Roman" w:cs="Times New Roman"/>
          <w:bCs/>
          <w:szCs w:val="24"/>
        </w:rPr>
        <w:t xml:space="preserve">Presidente                         </w:t>
      </w:r>
      <w:r w:rsidRPr="00AF5956">
        <w:rPr>
          <w:rFonts w:ascii="Times New Roman" w:hAnsi="Times New Roman" w:cs="Times New Roman"/>
          <w:bCs/>
          <w:szCs w:val="24"/>
        </w:rPr>
        <w:t xml:space="preserve">            </w:t>
      </w:r>
      <w:r w:rsidR="00AB1EE8" w:rsidRPr="00AF5956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                      </w:t>
      </w:r>
      <w:r w:rsidR="00AB1EE8" w:rsidRPr="00AF5956">
        <w:rPr>
          <w:rFonts w:ascii="Times New Roman" w:hAnsi="Times New Roman" w:cs="Times New Roman"/>
          <w:bCs/>
          <w:szCs w:val="24"/>
        </w:rPr>
        <w:t>1ª Secretário</w:t>
      </w:r>
      <w:r w:rsidR="00C61E86" w:rsidRPr="00AF5956">
        <w:rPr>
          <w:rFonts w:ascii="Times New Roman" w:hAnsi="Times New Roman" w:cs="Times New Roman"/>
          <w:b/>
        </w:rPr>
        <w:tab/>
      </w:r>
    </w:p>
    <w:sectPr w:rsidR="009774B1" w:rsidRPr="00AF5956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75" w:rsidRDefault="00BC6F75" w:rsidP="00AC332F">
      <w:pPr>
        <w:spacing w:line="240" w:lineRule="auto"/>
      </w:pPr>
      <w:r>
        <w:separator/>
      </w:r>
    </w:p>
  </w:endnote>
  <w:endnote w:type="continuationSeparator" w:id="1">
    <w:p w:rsidR="00BC6F75" w:rsidRDefault="00BC6F75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75" w:rsidRDefault="00BC6F75" w:rsidP="00AC332F">
      <w:pPr>
        <w:spacing w:line="240" w:lineRule="auto"/>
      </w:pPr>
      <w:r>
        <w:separator/>
      </w:r>
    </w:p>
  </w:footnote>
  <w:footnote w:type="continuationSeparator" w:id="1">
    <w:p w:rsidR="00BC6F75" w:rsidRDefault="00BC6F75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853A5"/>
    <w:rsid w:val="006A3BD8"/>
    <w:rsid w:val="006D4EAF"/>
    <w:rsid w:val="006E4227"/>
    <w:rsid w:val="00733BA9"/>
    <w:rsid w:val="00753C0C"/>
    <w:rsid w:val="0075620A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AF5956"/>
    <w:rsid w:val="00B429C3"/>
    <w:rsid w:val="00B672F5"/>
    <w:rsid w:val="00B75C47"/>
    <w:rsid w:val="00B91630"/>
    <w:rsid w:val="00BA254F"/>
    <w:rsid w:val="00BC6F75"/>
    <w:rsid w:val="00BC7D9D"/>
    <w:rsid w:val="00BE53F1"/>
    <w:rsid w:val="00BF3EAA"/>
    <w:rsid w:val="00C61E86"/>
    <w:rsid w:val="00C92DF1"/>
    <w:rsid w:val="00C95418"/>
    <w:rsid w:val="00CB5482"/>
    <w:rsid w:val="00CD01B1"/>
    <w:rsid w:val="00CF0D8E"/>
    <w:rsid w:val="00D07D6C"/>
    <w:rsid w:val="00D24308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2023-07-31T20:12:00Z</cp:lastPrinted>
  <dcterms:created xsi:type="dcterms:W3CDTF">2023-07-31T20:12:00Z</dcterms:created>
  <dcterms:modified xsi:type="dcterms:W3CDTF">2023-07-31T20:12:00Z</dcterms:modified>
</cp:coreProperties>
</file>