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444444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bCs/>
          <w:color w:val="444444"/>
        </w:rPr>
        <w:t>Lei nº 2.492/2016.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              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left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</w:rPr>
        <w:t>Autoriza a transferência de Recursos Financeiros à Associação Atlética Metropol, e contém outras providências.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Art. 1º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Fica o Chefe do Poder Executivo Municipal, em nome do Município de Guarujá do Sul, Estado de Santa Catarina, autorizado a transferir no exercício de 2016</w:t>
      </w:r>
      <w:r>
        <w:rPr>
          <w:rFonts w:ascii="Arial" w:hAnsi="Arial" w:cs="Arial"/>
          <w:b/>
          <w:bCs/>
          <w:color w:val="444444"/>
        </w:rPr>
        <w:t>,</w:t>
      </w:r>
      <w:r>
        <w:rPr>
          <w:rStyle w:val="apple-converted-space"/>
          <w:rFonts w:ascii="Arial" w:hAnsi="Arial" w:cs="Arial"/>
          <w:b/>
          <w:bCs/>
          <w:color w:val="444444"/>
        </w:rPr>
        <w:t> </w:t>
      </w:r>
      <w:r>
        <w:rPr>
          <w:rFonts w:ascii="Arial" w:hAnsi="Arial" w:cs="Arial"/>
          <w:color w:val="444444"/>
        </w:rPr>
        <w:t>  a importância de R$ 10.000,00(dez mil  reais),  à 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b/>
          <w:bCs/>
          <w:color w:val="444444"/>
        </w:rPr>
        <w:t>ASSOCIAÇÃO ATLETICA METROPOL,</w:t>
      </w:r>
      <w:r>
        <w:rPr>
          <w:rStyle w:val="apple-converted-space"/>
          <w:rFonts w:ascii="Arial" w:hAnsi="Arial" w:cs="Arial"/>
          <w:b/>
          <w:bCs/>
          <w:color w:val="444444"/>
        </w:rPr>
        <w:t> </w:t>
      </w:r>
      <w:r>
        <w:rPr>
          <w:rFonts w:ascii="Arial" w:hAnsi="Arial" w:cs="Arial"/>
          <w:color w:val="444444"/>
        </w:rPr>
        <w:t>inscrita no Cadastro Nacional de Pessoa Jurídica  sob o nº 86.947.769/0001-37</w:t>
      </w:r>
      <w:r>
        <w:rPr>
          <w:rFonts w:ascii="Arial" w:hAnsi="Arial" w:cs="Arial"/>
          <w:b/>
          <w:bCs/>
          <w:color w:val="444444"/>
        </w:rPr>
        <w:t>,</w:t>
      </w:r>
      <w:r>
        <w:rPr>
          <w:rStyle w:val="apple-converted-space"/>
          <w:rFonts w:ascii="Arial" w:hAnsi="Arial" w:cs="Arial"/>
          <w:b/>
          <w:bCs/>
          <w:color w:val="444444"/>
        </w:rPr>
        <w:t> </w:t>
      </w:r>
      <w:r>
        <w:rPr>
          <w:rFonts w:ascii="Arial" w:hAnsi="Arial" w:cs="Arial"/>
          <w:color w:val="444444"/>
        </w:rPr>
        <w:t>com sede na comunidade de Barro Preto, neste município de Guarujá do Sul,  destinados à manutenção, coordenação e desenvolvimento de suas atividades estatutárias.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Art. 2º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Os recursos serão repassados em uma única parcela no exercício de 2016, sendo obrigatório o depósito dos recursos em conta individualizada e vinculada em Entidade bancária Oficial, movimentado por Cheques nominais e individuais por credor.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Art. 3º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A Associação  terá que comprovar à boa e regular aplicação dos recursos recebidos junto a Contadoria Geral do município, dentro do Exercício de 2015.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Art. 4º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A não obediência das finalidades e prazos estabelecidos nesta Lei acarretará no bloqueio da parcela seguinte e na devolução integral dos valores atualizados monetariamente em favor do Erário Público Municipal.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Art. 5º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As despesas impugnadas pela Contadoria Geral do Município à luz da legislação vigente, serão atualizadas monetariamente e devolvidas à municipalidade.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Art. 6º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Os saldos não aplicados nos prazos previstos na presente Lei, serão também obrigatoriamente recolhidos à conta do Erário Público Municipal.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Art. 7º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São responsáveis pela aplicação dos recursos transferidos o Ordenador Primário (Presidente) e o Ordenador Secundário (Tesoureiro).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</w:rPr>
        <w:t>Art. 8</w:t>
      </w:r>
      <w:r>
        <w:rPr>
          <w:rFonts w:ascii="Arial" w:hAnsi="Arial" w:cs="Arial"/>
          <w:color w:val="444444"/>
        </w:rPr>
        <w:t>º A prestação de contas dos recursos recebidos será apresentada ao Executivo Municipal, em uma via e nos prazos previstos nesta Lei, instruídas com os seguintes documentos: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lastRenderedPageBreak/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I - ofício de encaminhamento a prestação de contas;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II -  balancete Modelo conforme padrão;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III -  extrato bancário de conta especial e conciliação do saldo se for o caso;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IV - fotocópia dos documentos suportes de despesas bem legíveis e sem rasuras e/ou entrelinhas; e,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V -  declaração de lançamento contábil ratificando o ingresso dos valores na Receita Orçamentária da Entidade.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color w:val="444444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Parágrafo único</w:t>
      </w:r>
      <w:r>
        <w:rPr>
          <w:rFonts w:ascii="Arial" w:hAnsi="Arial" w:cs="Arial"/>
          <w:color w:val="444444"/>
        </w:rPr>
        <w:t>. A prestação de contas e demais documentos que comprovarem a boa e regular aplicação dos recursos deverão obrigatoriamente ser assinados  pelos Ordenadores Primário e Secundário.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Art. 9º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Fica o Chefe do Poder Executivo Municipal, autorizado a regulamentar por ato próprio se necessário for, o processo de aplicação e tomada de contas dos recursos transferidos, visando a averiguação do emprego do dinheiro público.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Art. 10.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As despesas realizadas a conta dos recursos ora autorizados, quando cabível ao caso, obedecerão aos princípios regimentais do processo licitatório, em consonância com a legislação pertinente ao assunto.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Art. 11.</w:t>
      </w:r>
      <w:r>
        <w:rPr>
          <w:rStyle w:val="apple-converted-space"/>
          <w:rFonts w:ascii="Arial" w:hAnsi="Arial" w:cs="Arial"/>
          <w:b/>
          <w:bCs/>
          <w:color w:val="444444"/>
        </w:rPr>
        <w:t> </w:t>
      </w:r>
      <w:r>
        <w:rPr>
          <w:rFonts w:ascii="Arial" w:hAnsi="Arial" w:cs="Arial"/>
          <w:color w:val="444444"/>
        </w:rPr>
        <w:t>As despesas decorrentes com a presente Lei, correrão por conta  dos  itens cabíveis na dotação orçamentária do Orçamento Municipal.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Art. 12. </w:t>
      </w:r>
      <w:r>
        <w:rPr>
          <w:rStyle w:val="apple-converted-space"/>
          <w:rFonts w:ascii="Arial" w:hAnsi="Arial" w:cs="Arial"/>
          <w:b/>
          <w:bCs/>
          <w:color w:val="444444"/>
        </w:rPr>
        <w:t> </w:t>
      </w:r>
      <w:r>
        <w:rPr>
          <w:rFonts w:ascii="Arial" w:hAnsi="Arial" w:cs="Arial"/>
          <w:color w:val="444444"/>
        </w:rPr>
        <w:t>Esta Lei entrará em vigor na data de usa publicação.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</w:rPr>
        <w:t>GABINETE DO PREFEITO MUNICIPAL DE GUARUJÁ DO SUL, SC, em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</w:rPr>
        <w:t> </w:t>
      </w:r>
      <w:r w:rsidR="0082335A">
        <w:rPr>
          <w:rFonts w:ascii="Arial" w:hAnsi="Arial" w:cs="Arial"/>
          <w:b/>
          <w:bCs/>
          <w:color w:val="444444"/>
        </w:rPr>
        <w:t xml:space="preserve">29 </w:t>
      </w:r>
      <w:r>
        <w:rPr>
          <w:rFonts w:ascii="Arial" w:hAnsi="Arial" w:cs="Arial"/>
          <w:b/>
          <w:bCs/>
          <w:color w:val="444444"/>
        </w:rPr>
        <w:t>de junho de 2016 - 64º ano da Fundação e 54º ano da Instalação.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rPr>
          <w:rFonts w:ascii="Calibri" w:hAnsi="Calibri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rPr>
          <w:rFonts w:ascii="Calibri" w:hAnsi="Calibri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> 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</w:rPr>
        <w:t>JOSÉ CARLOS FOIATTO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Prefeito Municipal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rPr>
          <w:rFonts w:ascii="Calibri" w:hAnsi="Calibri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>- Certifique-se. Registre-se. Cumpra-se.</w:t>
      </w: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444444"/>
          <w:sz w:val="23"/>
          <w:szCs w:val="23"/>
        </w:rPr>
      </w:pPr>
    </w:p>
    <w:p w:rsidR="00027419" w:rsidRDefault="00027419" w:rsidP="00027419">
      <w:pPr>
        <w:pStyle w:val="ecxmsonospacing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</w:rPr>
        <w:t>Claudio Inacio Weschenfelder</w:t>
      </w:r>
    </w:p>
    <w:p w:rsidR="00027419" w:rsidRDefault="00027419" w:rsidP="00027419">
      <w:pPr>
        <w:pStyle w:val="ecxmsonospacing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</w:rPr>
        <w:t>Secretário de Administração e Fazenda</w:t>
      </w:r>
    </w:p>
    <w:p w:rsidR="00AF6E86" w:rsidRDefault="00AF6E86" w:rsidP="00027419">
      <w:pPr>
        <w:spacing w:after="0" w:line="240" w:lineRule="auto"/>
      </w:pPr>
    </w:p>
    <w:sectPr w:rsidR="00AF6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19"/>
    <w:rsid w:val="00027419"/>
    <w:rsid w:val="0082335A"/>
    <w:rsid w:val="00AF6E86"/>
    <w:rsid w:val="00C3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2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27419"/>
  </w:style>
  <w:style w:type="paragraph" w:customStyle="1" w:styleId="ecxmsonospacing">
    <w:name w:val="ecxmsonospacing"/>
    <w:basedOn w:val="Normal"/>
    <w:rsid w:val="0002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2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27419"/>
  </w:style>
  <w:style w:type="paragraph" w:customStyle="1" w:styleId="ecxmsonospacing">
    <w:name w:val="ecxmsonospacing"/>
    <w:basedOn w:val="Normal"/>
    <w:rsid w:val="0002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2017-04-10T13:21:00Z</dcterms:created>
  <dcterms:modified xsi:type="dcterms:W3CDTF">2017-04-10T13:21:00Z</dcterms:modified>
</cp:coreProperties>
</file>