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84" w:rsidRPr="003202A6" w:rsidRDefault="007E1A84" w:rsidP="007E1A84">
      <w:pPr>
        <w:pStyle w:val="Recuodecorpodetexto3"/>
        <w:ind w:left="2268" w:hanging="2268"/>
        <w:rPr>
          <w:rFonts w:ascii="Palatino Linotype" w:hAnsi="Palatino Linotype" w:cs="Courier New"/>
          <w:b/>
        </w:rPr>
      </w:pPr>
      <w:bookmarkStart w:id="0" w:name="_GoBack"/>
      <w:bookmarkEnd w:id="0"/>
      <w:r>
        <w:rPr>
          <w:rFonts w:ascii="Palatino Linotype" w:hAnsi="Palatino Linotype" w:cs="Courier New"/>
          <w:b/>
        </w:rPr>
        <w:t>Lei Municipal 2.527</w:t>
      </w:r>
      <w:r w:rsidRPr="003202A6">
        <w:rPr>
          <w:rFonts w:ascii="Palatino Linotype" w:hAnsi="Palatino Linotype" w:cs="Courier New"/>
          <w:b/>
        </w:rPr>
        <w:t>/2017</w:t>
      </w:r>
    </w:p>
    <w:p w:rsidR="007E1A84" w:rsidRPr="003202A6" w:rsidRDefault="007E1A84" w:rsidP="007E1A84">
      <w:pPr>
        <w:pStyle w:val="Recuodecorpodetexto3"/>
        <w:ind w:left="2268"/>
        <w:rPr>
          <w:rFonts w:ascii="Palatino Linotype" w:hAnsi="Palatino Linotype" w:cs="Courier New"/>
          <w:b/>
        </w:rPr>
      </w:pPr>
    </w:p>
    <w:p w:rsidR="007E1A84" w:rsidRPr="003202A6" w:rsidRDefault="007E1A84" w:rsidP="007E1A84">
      <w:pPr>
        <w:pStyle w:val="Recuodecorpodetexto3"/>
        <w:ind w:left="2268"/>
        <w:rPr>
          <w:rFonts w:ascii="Palatino Linotype" w:hAnsi="Palatino Linotype" w:cs="Courier New"/>
          <w:b/>
        </w:rPr>
      </w:pPr>
      <w:r w:rsidRPr="003202A6">
        <w:rPr>
          <w:rFonts w:ascii="Palatino Linotype" w:hAnsi="Palatino Linotype" w:cs="Courier New"/>
          <w:b/>
        </w:rPr>
        <w:t xml:space="preserve">Altera o artigo </w:t>
      </w:r>
      <w:r>
        <w:rPr>
          <w:rFonts w:ascii="Palatino Linotype" w:hAnsi="Palatino Linotype" w:cs="Courier New"/>
          <w:b/>
        </w:rPr>
        <w:t>2</w:t>
      </w:r>
      <w:r w:rsidRPr="003202A6">
        <w:rPr>
          <w:rFonts w:ascii="Palatino Linotype" w:hAnsi="Palatino Linotype" w:cs="Courier New"/>
          <w:b/>
        </w:rPr>
        <w:t xml:space="preserve">º da Lei Municipal </w:t>
      </w:r>
      <w:r>
        <w:rPr>
          <w:rFonts w:ascii="Palatino Linotype" w:hAnsi="Palatino Linotype" w:cs="Courier New"/>
          <w:b/>
        </w:rPr>
        <w:t>1.832</w:t>
      </w:r>
      <w:r w:rsidRPr="003202A6">
        <w:rPr>
          <w:rFonts w:ascii="Palatino Linotype" w:hAnsi="Palatino Linotype" w:cs="Courier New"/>
          <w:b/>
        </w:rPr>
        <w:t>/</w:t>
      </w:r>
      <w:r>
        <w:rPr>
          <w:rFonts w:ascii="Palatino Linotype" w:hAnsi="Palatino Linotype" w:cs="Courier New"/>
          <w:b/>
        </w:rPr>
        <w:t>2006</w:t>
      </w:r>
      <w:r w:rsidRPr="003202A6">
        <w:rPr>
          <w:rFonts w:ascii="Palatino Linotype" w:hAnsi="Palatino Linotype" w:cs="Courier New"/>
          <w:b/>
        </w:rPr>
        <w:t xml:space="preserve"> de 1</w:t>
      </w:r>
      <w:r>
        <w:rPr>
          <w:rFonts w:ascii="Palatino Linotype" w:hAnsi="Palatino Linotype" w:cs="Courier New"/>
          <w:b/>
        </w:rPr>
        <w:t>7</w:t>
      </w:r>
      <w:r w:rsidRPr="003202A6">
        <w:rPr>
          <w:rFonts w:ascii="Palatino Linotype" w:hAnsi="Palatino Linotype" w:cs="Courier New"/>
          <w:b/>
        </w:rPr>
        <w:t xml:space="preserve"> de julho de 20</w:t>
      </w:r>
      <w:r>
        <w:rPr>
          <w:rFonts w:ascii="Palatino Linotype" w:hAnsi="Palatino Linotype" w:cs="Courier New"/>
          <w:b/>
        </w:rPr>
        <w:t>06</w:t>
      </w:r>
      <w:r w:rsidRPr="003202A6">
        <w:rPr>
          <w:rFonts w:ascii="Palatino Linotype" w:hAnsi="Palatino Linotype" w:cs="Courier New"/>
          <w:b/>
        </w:rPr>
        <w:t xml:space="preserve">, que </w:t>
      </w:r>
      <w:r>
        <w:rPr>
          <w:rFonts w:ascii="Palatino Linotype" w:hAnsi="Palatino Linotype" w:cs="Courier New"/>
          <w:b/>
        </w:rPr>
        <w:t>Autoriza o chefe do poder executivo a efetuar concessão de uso de bem imóvel de domínio público</w:t>
      </w:r>
      <w:r w:rsidRPr="003202A6">
        <w:rPr>
          <w:rFonts w:ascii="Palatino Linotype" w:hAnsi="Palatino Linotype" w:cs="Courier New"/>
          <w:b/>
        </w:rPr>
        <w:t xml:space="preserve"> dá outras providências.</w:t>
      </w:r>
    </w:p>
    <w:p w:rsidR="007E1A84" w:rsidRPr="003202A6" w:rsidRDefault="007E1A84" w:rsidP="007E1A84">
      <w:pPr>
        <w:spacing w:after="120"/>
        <w:ind w:firstLine="3600"/>
        <w:jc w:val="both"/>
        <w:rPr>
          <w:rFonts w:ascii="Palatino Linotype" w:hAnsi="Palatino Linotype" w:cs="Courier New"/>
        </w:rPr>
      </w:pPr>
    </w:p>
    <w:p w:rsidR="007E1A84" w:rsidRPr="003202A6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  <w:r w:rsidRPr="003202A6">
        <w:rPr>
          <w:rFonts w:ascii="Palatino Linotype" w:hAnsi="Palatino Linotype" w:cs="Courier New"/>
          <w:b/>
        </w:rPr>
        <w:t>O Prefeito Municipal de Guarujá do Sul</w:t>
      </w:r>
      <w:r w:rsidRPr="003202A6">
        <w:rPr>
          <w:rFonts w:ascii="Palatino Linotype" w:hAnsi="Palatino Linotype" w:cs="Courier New"/>
        </w:rPr>
        <w:t xml:space="preserve">, Estado de Santa Catarina, no uso de suas atribuições legais e constitucionais, em consonância ao disposto nos artigos </w:t>
      </w:r>
      <w:r>
        <w:rPr>
          <w:rFonts w:ascii="Palatino Linotype" w:hAnsi="Palatino Linotype" w:cs="Courier New"/>
        </w:rPr>
        <w:t xml:space="preserve">21 inciso XXI, </w:t>
      </w:r>
      <w:r w:rsidRPr="003202A6">
        <w:rPr>
          <w:rFonts w:ascii="Palatino Linotype" w:hAnsi="Palatino Linotype" w:cs="Courier New"/>
        </w:rPr>
        <w:t>da Lei Orgânica do Município de Guarujá do Sul, SC.</w:t>
      </w:r>
    </w:p>
    <w:p w:rsidR="007E1A84" w:rsidRPr="001B1D52" w:rsidRDefault="007E1A84" w:rsidP="007E1A84">
      <w:pPr>
        <w:ind w:firstLine="2127"/>
        <w:jc w:val="both"/>
        <w:rPr>
          <w:rFonts w:ascii="Palatino Linotype" w:hAnsi="Palatino Linotype" w:cs="Courier New"/>
          <w:sz w:val="22"/>
          <w:szCs w:val="22"/>
        </w:rPr>
      </w:pPr>
      <w:r w:rsidRPr="001B1D52">
        <w:rPr>
          <w:rFonts w:ascii="Palatino Linotype" w:hAnsi="Palatino Linotype" w:cs="Courier New"/>
          <w:b/>
          <w:sz w:val="22"/>
          <w:szCs w:val="22"/>
        </w:rPr>
        <w:t>TORNA PÚBLICO</w:t>
      </w:r>
      <w:r w:rsidRPr="001B1D52">
        <w:rPr>
          <w:rFonts w:ascii="Palatino Linotype" w:hAnsi="Palatino Linotype" w:cs="Courier New"/>
          <w:sz w:val="22"/>
          <w:szCs w:val="22"/>
        </w:rPr>
        <w:t xml:space="preserve"> a todos os habitantes deste Município que a Câmara Municipal de Vereadores, votou, aprovou e eu sanciono a seguinte Lei:</w:t>
      </w:r>
    </w:p>
    <w:p w:rsidR="007E1A84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</w:p>
    <w:p w:rsidR="007E1A84" w:rsidRPr="003202A6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  <w:r w:rsidRPr="003202A6">
        <w:rPr>
          <w:rFonts w:ascii="Palatino Linotype" w:hAnsi="Palatino Linotype" w:cs="Courier New"/>
        </w:rPr>
        <w:t xml:space="preserve">Art. 1º - O artigo </w:t>
      </w:r>
      <w:r>
        <w:rPr>
          <w:rFonts w:ascii="Palatino Linotype" w:hAnsi="Palatino Linotype" w:cs="Courier New"/>
        </w:rPr>
        <w:t>2</w:t>
      </w:r>
      <w:r w:rsidRPr="003202A6">
        <w:rPr>
          <w:rFonts w:ascii="Palatino Linotype" w:hAnsi="Palatino Linotype" w:cs="Courier New"/>
        </w:rPr>
        <w:t xml:space="preserve">º da Lei Municipal </w:t>
      </w:r>
      <w:r>
        <w:rPr>
          <w:rFonts w:ascii="Palatino Linotype" w:hAnsi="Palatino Linotype" w:cs="Courier New"/>
        </w:rPr>
        <w:t>1.832/2006</w:t>
      </w:r>
      <w:r w:rsidRPr="003202A6">
        <w:rPr>
          <w:rFonts w:ascii="Palatino Linotype" w:hAnsi="Palatino Linotype" w:cs="Courier New"/>
        </w:rPr>
        <w:t xml:space="preserve"> passa a vigorar com a seguinte redação:</w:t>
      </w:r>
    </w:p>
    <w:p w:rsidR="007E1A84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  <w:proofErr w:type="gramStart"/>
      <w:r w:rsidRPr="003202A6">
        <w:rPr>
          <w:rFonts w:ascii="Palatino Linotype" w:hAnsi="Palatino Linotype" w:cs="Courier New"/>
        </w:rPr>
        <w:t xml:space="preserve">“Art. </w:t>
      </w:r>
      <w:r>
        <w:rPr>
          <w:rFonts w:ascii="Palatino Linotype" w:hAnsi="Palatino Linotype" w:cs="Courier New"/>
        </w:rPr>
        <w:t>2</w:t>
      </w:r>
      <w:r w:rsidRPr="003202A6">
        <w:rPr>
          <w:rFonts w:ascii="Palatino Linotype" w:hAnsi="Palatino Linotype" w:cs="Courier New"/>
        </w:rPr>
        <w:t xml:space="preserve">º </w:t>
      </w:r>
      <w:r>
        <w:rPr>
          <w:rFonts w:ascii="Palatino Linotype" w:hAnsi="Palatino Linotype" w:cs="Courier New"/>
        </w:rPr>
        <w:t>A área que se refere o Artigo anterior encontra-se localizada na Vila Sulina, fazendo parte dos Lotes 54 e 55, com área de 15.005,63 (quinze mil, cinco metros e sessenta e três decímetros quadrados) com os seguintes limites e confrontações:</w:t>
      </w:r>
    </w:p>
    <w:p w:rsidR="007E1A84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  <w:proofErr w:type="gramEnd"/>
      <w:r>
        <w:rPr>
          <w:rFonts w:ascii="Palatino Linotype" w:hAnsi="Palatino Linotype" w:cs="Courier New"/>
        </w:rPr>
        <w:t>Ao NORTE, com a Chácara 53, medindo 35,49metros;</w:t>
      </w:r>
    </w:p>
    <w:p w:rsidR="007E1A84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Ao SUL, com a parte restante das chácaras 54 e 55, medindo 16,74m e o Rio das Flores;</w:t>
      </w:r>
    </w:p>
    <w:p w:rsidR="007E1A84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Ao LESTE, com o Rio das Flores; e;</w:t>
      </w:r>
    </w:p>
    <w:p w:rsidR="007E1A84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Ao OESTE, com partes restantes das chácaras 54 e 55 medindo 72,14m e 111,54 metros.</w:t>
      </w:r>
    </w:p>
    <w:p w:rsidR="007E1A84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§ 1º A Concessão do direito real de uso do imóvel, será enquanto o concessionário vier existir, cumprindo as obrigações específicas em seu Estatuto. Mesmo que não se efetivando a sua dissolução, se o uso do bem não for para os fins peculiares, findar-se-á a Concessão a qualquer tempo, sem ônus por parte do erário público.</w:t>
      </w:r>
    </w:p>
    <w:p w:rsidR="007E1A84" w:rsidRPr="006D709B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  <w:r w:rsidRPr="006D709B">
        <w:rPr>
          <w:rFonts w:ascii="Palatino Linotype" w:hAnsi="Palatino Linotype" w:cs="Courier New"/>
        </w:rPr>
        <w:t xml:space="preserve">§ 2º Fica reservado uma área de 616,92m² (seiscentos e dezesseis metros e noventa e dois decímetros quadrados) a ser utilizada como servidão pelo município de Guarujá do Sul, que será utilizado como acesso ao futuro poço artesiano </w:t>
      </w:r>
      <w:proofErr w:type="gramStart"/>
      <w:r w:rsidRPr="006D709B">
        <w:rPr>
          <w:rFonts w:ascii="Palatino Linotype" w:hAnsi="Palatino Linotype" w:cs="Courier New"/>
        </w:rPr>
        <w:t>sob responsabilidade</w:t>
      </w:r>
      <w:proofErr w:type="gramEnd"/>
      <w:r w:rsidRPr="006D709B">
        <w:rPr>
          <w:rFonts w:ascii="Palatino Linotype" w:hAnsi="Palatino Linotype" w:cs="Courier New"/>
        </w:rPr>
        <w:t xml:space="preserve"> da CASAN para ampliação da capacidade de captação de agua para os munícipes.</w:t>
      </w:r>
    </w:p>
    <w:p w:rsidR="007E1A84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  <w:shd w:val="clear" w:color="auto" w:fill="FFFFFF"/>
        </w:rPr>
      </w:pPr>
      <w:proofErr w:type="gramStart"/>
      <w:r>
        <w:rPr>
          <w:rFonts w:ascii="Palatino Linotype" w:hAnsi="Palatino Linotype" w:cs="Courier New"/>
        </w:rPr>
        <w:lastRenderedPageBreak/>
        <w:t xml:space="preserve">§ 3º </w:t>
      </w:r>
      <w:r w:rsidRPr="006D709B">
        <w:rPr>
          <w:rFonts w:ascii="Palatino Linotype" w:hAnsi="Palatino Linotype" w:cs="Courier New"/>
          <w:shd w:val="clear" w:color="auto" w:fill="FFFFFF"/>
        </w:rPr>
        <w:t>O Município, durante o período da concessão, disporá d</w:t>
      </w:r>
      <w:r>
        <w:rPr>
          <w:rFonts w:ascii="Palatino Linotype" w:hAnsi="Palatino Linotype" w:cs="Courier New"/>
          <w:shd w:val="clear" w:color="auto" w:fill="FFFFFF"/>
        </w:rPr>
        <w:t xml:space="preserve">a área citada no caput desse artigo, </w:t>
      </w:r>
      <w:r w:rsidRPr="006D709B">
        <w:rPr>
          <w:rFonts w:ascii="Palatino Linotype" w:hAnsi="Palatino Linotype" w:cs="Courier New"/>
          <w:shd w:val="clear" w:color="auto" w:fill="FFFFFF"/>
        </w:rPr>
        <w:t>para promoções de seus eventos legais, para fins de assistência social</w:t>
      </w:r>
      <w:r>
        <w:rPr>
          <w:rFonts w:ascii="Palatino Linotype" w:hAnsi="Palatino Linotype" w:cs="Courier New"/>
          <w:shd w:val="clear" w:color="auto" w:fill="FFFFFF"/>
        </w:rPr>
        <w:t xml:space="preserve">, </w:t>
      </w:r>
      <w:r w:rsidRPr="006D709B">
        <w:rPr>
          <w:rFonts w:ascii="Palatino Linotype" w:hAnsi="Palatino Linotype" w:cs="Courier New"/>
          <w:shd w:val="clear" w:color="auto" w:fill="FFFFFF"/>
        </w:rPr>
        <w:t>educativos</w:t>
      </w:r>
      <w:r>
        <w:rPr>
          <w:rFonts w:ascii="Palatino Linotype" w:hAnsi="Palatino Linotype" w:cs="Courier New"/>
          <w:shd w:val="clear" w:color="auto" w:fill="FFFFFF"/>
        </w:rPr>
        <w:t>, feiras e congêneres</w:t>
      </w:r>
      <w:r w:rsidRPr="006D709B">
        <w:rPr>
          <w:rFonts w:ascii="Palatino Linotype" w:hAnsi="Palatino Linotype" w:cs="Courier New"/>
          <w:shd w:val="clear" w:color="auto" w:fill="FFFFFF"/>
        </w:rPr>
        <w:t>,</w:t>
      </w:r>
      <w:r>
        <w:rPr>
          <w:rFonts w:ascii="Palatino Linotype" w:hAnsi="Palatino Linotype" w:cs="Courier New"/>
          <w:shd w:val="clear" w:color="auto" w:fill="FFFFFF"/>
        </w:rPr>
        <w:t xml:space="preserve"> pelo tempo necessário, </w:t>
      </w:r>
      <w:r w:rsidRPr="006D709B">
        <w:rPr>
          <w:rFonts w:ascii="Palatino Linotype" w:hAnsi="Palatino Linotype" w:cs="Courier New"/>
          <w:shd w:val="clear" w:color="auto" w:fill="FFFFFF"/>
        </w:rPr>
        <w:t>mediante prévio agendamento</w:t>
      </w:r>
      <w:r>
        <w:rPr>
          <w:rFonts w:ascii="Palatino Linotype" w:hAnsi="Palatino Linotype" w:cs="Courier New"/>
          <w:shd w:val="clear" w:color="auto" w:fill="FFFFFF"/>
        </w:rPr>
        <w:t xml:space="preserve"> e com o pagamento de despesas de energia elétrica, água e limpeza”</w:t>
      </w:r>
      <w:proofErr w:type="gramEnd"/>
      <w:r>
        <w:rPr>
          <w:rFonts w:ascii="Palatino Linotype" w:hAnsi="Palatino Linotype" w:cs="Courier New"/>
          <w:shd w:val="clear" w:color="auto" w:fill="FFFFFF"/>
        </w:rPr>
        <w:t>.</w:t>
      </w:r>
    </w:p>
    <w:p w:rsidR="007E1A84" w:rsidRPr="003202A6" w:rsidRDefault="007E1A84" w:rsidP="007E1A84">
      <w:pPr>
        <w:pStyle w:val="Corpodetexto2"/>
        <w:spacing w:after="120" w:line="240" w:lineRule="auto"/>
        <w:ind w:firstLine="2268"/>
        <w:rPr>
          <w:rFonts w:ascii="Palatino Linotype" w:hAnsi="Palatino Linotype" w:cs="Courier New"/>
          <w:sz w:val="24"/>
        </w:rPr>
      </w:pPr>
      <w:r w:rsidRPr="003202A6">
        <w:rPr>
          <w:rFonts w:ascii="Palatino Linotype" w:hAnsi="Palatino Linotype" w:cs="Courier New"/>
          <w:sz w:val="24"/>
        </w:rPr>
        <w:t>Art. 2º - As despesas decorrentes com a execução da presente Lei serão oneradas dos itens orçamentários específicos.</w:t>
      </w:r>
    </w:p>
    <w:p w:rsidR="007E1A84" w:rsidRPr="003202A6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  <w:r w:rsidRPr="003202A6">
        <w:rPr>
          <w:rFonts w:ascii="Palatino Linotype" w:hAnsi="Palatino Linotype" w:cs="Courier New"/>
        </w:rPr>
        <w:t>Art. 3º - Revogam-se as disposições em contrário, entrando em vigor a presente Lei, na data de sua publicação.</w:t>
      </w:r>
    </w:p>
    <w:p w:rsidR="007E1A84" w:rsidRPr="003202A6" w:rsidRDefault="007E1A84" w:rsidP="007E1A84">
      <w:pPr>
        <w:spacing w:after="120"/>
        <w:ind w:firstLine="2268"/>
        <w:jc w:val="both"/>
        <w:rPr>
          <w:rFonts w:ascii="Palatino Linotype" w:hAnsi="Palatino Linotype" w:cs="Courier New"/>
        </w:rPr>
      </w:pPr>
    </w:p>
    <w:p w:rsidR="007E1A84" w:rsidRPr="00771790" w:rsidRDefault="007E1A84" w:rsidP="007E1A84">
      <w:pPr>
        <w:jc w:val="both"/>
        <w:rPr>
          <w:rFonts w:ascii="Palatino Linotype" w:hAnsi="Palatino Linotype" w:cs="Courier New"/>
        </w:rPr>
      </w:pPr>
      <w:r w:rsidRPr="00771790">
        <w:rPr>
          <w:rFonts w:ascii="Palatino Linotype" w:hAnsi="Palatino Linotype" w:cs="Courier New"/>
        </w:rPr>
        <w:t>GABINETE DO PREFEITO MUNICIPAL DE GUARUJÁ DO SUL – SC</w:t>
      </w:r>
    </w:p>
    <w:p w:rsidR="007E1A84" w:rsidRPr="00771790" w:rsidRDefault="007E1A84" w:rsidP="007E1A84">
      <w:pPr>
        <w:jc w:val="both"/>
        <w:rPr>
          <w:rFonts w:ascii="Palatino Linotype" w:hAnsi="Palatino Linotype" w:cs="Courier New"/>
        </w:rPr>
      </w:pPr>
      <w:r w:rsidRPr="00771790">
        <w:rPr>
          <w:rFonts w:ascii="Palatino Linotype" w:hAnsi="Palatino Linotype" w:cs="Courier New"/>
        </w:rPr>
        <w:t>24 de maio de 2017</w:t>
      </w:r>
    </w:p>
    <w:p w:rsidR="007E1A84" w:rsidRPr="00771790" w:rsidRDefault="007E1A84" w:rsidP="007E1A84">
      <w:pPr>
        <w:jc w:val="both"/>
        <w:rPr>
          <w:rFonts w:ascii="Palatino Linotype" w:hAnsi="Palatino Linotype" w:cs="Courier New"/>
        </w:rPr>
      </w:pPr>
      <w:r w:rsidRPr="00771790">
        <w:rPr>
          <w:rFonts w:ascii="Palatino Linotype" w:hAnsi="Palatino Linotype" w:cs="Courier New"/>
        </w:rPr>
        <w:t>65º ano da Fundação e 55º ano da Instalação.</w:t>
      </w:r>
    </w:p>
    <w:p w:rsidR="007E1A84" w:rsidRPr="00771790" w:rsidRDefault="007E1A84" w:rsidP="007E1A84">
      <w:pPr>
        <w:jc w:val="both"/>
        <w:rPr>
          <w:rFonts w:ascii="Palatino Linotype" w:hAnsi="Palatino Linotype" w:cs="Calibri"/>
        </w:rPr>
      </w:pPr>
    </w:p>
    <w:p w:rsidR="007E1A84" w:rsidRPr="00771790" w:rsidRDefault="007E1A84" w:rsidP="007E1A84">
      <w:pPr>
        <w:jc w:val="both"/>
        <w:rPr>
          <w:rFonts w:ascii="Palatino Linotype" w:hAnsi="Palatino Linotype" w:cs="Calibri"/>
        </w:rPr>
      </w:pPr>
    </w:p>
    <w:p w:rsidR="007E1A84" w:rsidRPr="00771790" w:rsidRDefault="007E1A84" w:rsidP="007E1A84">
      <w:pPr>
        <w:jc w:val="center"/>
        <w:rPr>
          <w:rFonts w:ascii="Palatino Linotype" w:hAnsi="Palatino Linotype" w:cs="Courier New"/>
          <w:b/>
        </w:rPr>
      </w:pPr>
      <w:r w:rsidRPr="00771790">
        <w:rPr>
          <w:rFonts w:ascii="Palatino Linotype" w:hAnsi="Palatino Linotype" w:cs="Courier New"/>
          <w:b/>
        </w:rPr>
        <w:t>Claudio Júnior Weschenfelder</w:t>
      </w:r>
    </w:p>
    <w:p w:rsidR="007E1A84" w:rsidRPr="00771790" w:rsidRDefault="007E1A84" w:rsidP="007E1A84">
      <w:pPr>
        <w:jc w:val="center"/>
        <w:rPr>
          <w:rFonts w:ascii="Palatino Linotype" w:hAnsi="Palatino Linotype" w:cs="Courier New"/>
          <w:b/>
        </w:rPr>
      </w:pPr>
      <w:r w:rsidRPr="00771790">
        <w:rPr>
          <w:rFonts w:ascii="Palatino Linotype" w:hAnsi="Palatino Linotype" w:cs="Courier New"/>
          <w:b/>
        </w:rPr>
        <w:t>Prefeito Municipal.</w:t>
      </w:r>
    </w:p>
    <w:p w:rsidR="007E1A84" w:rsidRPr="00771790" w:rsidRDefault="007E1A84" w:rsidP="007E1A84">
      <w:pPr>
        <w:jc w:val="center"/>
        <w:rPr>
          <w:rFonts w:ascii="Palatino Linotype" w:hAnsi="Palatino Linotype" w:cs="Courier New"/>
        </w:rPr>
      </w:pPr>
    </w:p>
    <w:p w:rsidR="007E1A84" w:rsidRPr="00771790" w:rsidRDefault="007E1A84" w:rsidP="007E1A84">
      <w:pPr>
        <w:spacing w:line="360" w:lineRule="auto"/>
        <w:jc w:val="both"/>
        <w:rPr>
          <w:rFonts w:ascii="Palatino Linotype" w:hAnsi="Palatino Linotype" w:cs="Courier New"/>
        </w:rPr>
      </w:pPr>
      <w:r w:rsidRPr="00771790">
        <w:rPr>
          <w:rFonts w:ascii="Palatino Linotype" w:hAnsi="Palatino Linotype" w:cs="Courier New"/>
        </w:rPr>
        <w:t>Certifico que a Presente Lei foi publicada e registrada nesta Secretaria em data supra.</w:t>
      </w:r>
    </w:p>
    <w:p w:rsidR="007E1A84" w:rsidRPr="00771790" w:rsidRDefault="007E1A84" w:rsidP="007E1A84">
      <w:pPr>
        <w:spacing w:line="360" w:lineRule="auto"/>
        <w:jc w:val="center"/>
        <w:rPr>
          <w:rFonts w:ascii="Palatino Linotype" w:hAnsi="Palatino Linotype" w:cs="Courier New"/>
        </w:rPr>
      </w:pPr>
    </w:p>
    <w:p w:rsidR="007E1A84" w:rsidRPr="00771790" w:rsidRDefault="007E1A84" w:rsidP="007E1A84">
      <w:pPr>
        <w:jc w:val="center"/>
        <w:rPr>
          <w:rFonts w:ascii="Palatino Linotype" w:hAnsi="Palatino Linotype" w:cs="Courier New"/>
          <w:b/>
        </w:rPr>
      </w:pPr>
      <w:r w:rsidRPr="00771790">
        <w:rPr>
          <w:rFonts w:ascii="Palatino Linotype" w:hAnsi="Palatino Linotype" w:cs="Courier New"/>
          <w:b/>
        </w:rPr>
        <w:t>Julio Cesar Della Flora</w:t>
      </w:r>
    </w:p>
    <w:p w:rsidR="007E1A84" w:rsidRPr="00771790" w:rsidRDefault="007E1A84" w:rsidP="007E1A84">
      <w:pPr>
        <w:pStyle w:val="Pr-formataoHTML"/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771790">
        <w:rPr>
          <w:rFonts w:ascii="Palatino Linotype" w:hAnsi="Palatino Linotype"/>
          <w:b/>
          <w:sz w:val="24"/>
          <w:szCs w:val="24"/>
        </w:rPr>
        <w:t>Secretario da Administração e Fazenda</w:t>
      </w:r>
    </w:p>
    <w:p w:rsidR="007E1A84" w:rsidRDefault="007E1A84" w:rsidP="007E1A84">
      <w:pPr>
        <w:spacing w:after="120"/>
        <w:jc w:val="both"/>
        <w:rPr>
          <w:rFonts w:ascii="Palatino Linotype" w:hAnsi="Palatino Linotype" w:cs="Calibri"/>
          <w:b/>
          <w:sz w:val="20"/>
          <w:szCs w:val="20"/>
        </w:rPr>
      </w:pPr>
    </w:p>
    <w:p w:rsidR="007E1A84" w:rsidRDefault="007E1A84" w:rsidP="007E1A84">
      <w:pPr>
        <w:spacing w:after="120"/>
        <w:jc w:val="both"/>
        <w:rPr>
          <w:rFonts w:ascii="Palatino Linotype" w:hAnsi="Palatino Linotype" w:cs="Calibri"/>
          <w:b/>
          <w:sz w:val="20"/>
          <w:szCs w:val="20"/>
        </w:rPr>
      </w:pPr>
    </w:p>
    <w:p w:rsidR="007E1A84" w:rsidRDefault="007E1A84" w:rsidP="007E1A84">
      <w:pPr>
        <w:spacing w:after="120"/>
        <w:jc w:val="both"/>
        <w:rPr>
          <w:rFonts w:ascii="Palatino Linotype" w:hAnsi="Palatino Linotype" w:cs="Calibri"/>
          <w:b/>
          <w:sz w:val="20"/>
          <w:szCs w:val="20"/>
        </w:rPr>
      </w:pPr>
    </w:p>
    <w:p w:rsidR="007E1A84" w:rsidRPr="001B1D52" w:rsidRDefault="007E1A84" w:rsidP="007E1A84">
      <w:pPr>
        <w:pStyle w:val="Pr-formataoHTML"/>
        <w:spacing w:line="240" w:lineRule="auto"/>
        <w:jc w:val="center"/>
        <w:rPr>
          <w:rFonts w:ascii="Palatino Linotype" w:hAnsi="Palatino Linotype" w:cs="Arial"/>
          <w:sz w:val="22"/>
          <w:szCs w:val="22"/>
        </w:rPr>
      </w:pPr>
    </w:p>
    <w:p w:rsidR="009C5B91" w:rsidRDefault="009C5B91"/>
    <w:sectPr w:rsidR="009C5B91" w:rsidSect="00B93409">
      <w:headerReference w:type="default" r:id="rId7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DC" w:rsidRDefault="009C74DC">
      <w:r>
        <w:separator/>
      </w:r>
    </w:p>
  </w:endnote>
  <w:endnote w:type="continuationSeparator" w:id="0">
    <w:p w:rsidR="009C74DC" w:rsidRDefault="009C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DC" w:rsidRDefault="009C74DC">
      <w:r>
        <w:separator/>
      </w:r>
    </w:p>
  </w:footnote>
  <w:footnote w:type="continuationSeparator" w:id="0">
    <w:p w:rsidR="009C74DC" w:rsidRDefault="009C7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52" w:rsidRDefault="009C74DC" w:rsidP="001C3F10">
    <w:pPr>
      <w:pStyle w:val="Cabealho"/>
      <w:jc w:val="center"/>
    </w:pPr>
  </w:p>
  <w:p w:rsidR="001B1D52" w:rsidRDefault="009F387B" w:rsidP="00EF67C2">
    <w:pPr>
      <w:pStyle w:val="Cabealho"/>
    </w:pPr>
    <w:r>
      <w:rPr>
        <w:noProof/>
      </w:rPr>
      <w:t xml:space="preserve">                                            </w:t>
    </w:r>
  </w:p>
  <w:p w:rsidR="001B1D52" w:rsidRDefault="009C7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84"/>
    <w:rsid w:val="007E1A84"/>
    <w:rsid w:val="009B4C34"/>
    <w:rsid w:val="009C5B91"/>
    <w:rsid w:val="009C74DC"/>
    <w:rsid w:val="009F387B"/>
    <w:rsid w:val="00D1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7E1A84"/>
    <w:pPr>
      <w:spacing w:line="360" w:lineRule="auto"/>
      <w:jc w:val="both"/>
    </w:pPr>
    <w:rPr>
      <w:rFonts w:ascii="Century" w:hAnsi="Century"/>
      <w:sz w:val="22"/>
    </w:rPr>
  </w:style>
  <w:style w:type="character" w:customStyle="1" w:styleId="Corpodetexto2Char">
    <w:name w:val="Corpo de texto 2 Char"/>
    <w:basedOn w:val="Fontepargpadro"/>
    <w:link w:val="Corpodetexto2"/>
    <w:rsid w:val="007E1A84"/>
    <w:rPr>
      <w:rFonts w:ascii="Century" w:eastAsia="Times New Roman" w:hAnsi="Century" w:cs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E1A84"/>
    <w:pPr>
      <w:ind w:left="3600"/>
      <w:jc w:val="both"/>
    </w:pPr>
    <w:rPr>
      <w:rFonts w:ascii="Century" w:hAnsi="Century"/>
    </w:rPr>
  </w:style>
  <w:style w:type="character" w:customStyle="1" w:styleId="Recuodecorpodetexto3Char">
    <w:name w:val="Recuo de corpo de texto 3 Char"/>
    <w:basedOn w:val="Fontepargpadro"/>
    <w:link w:val="Recuodecorpodetexto3"/>
    <w:rsid w:val="007E1A84"/>
    <w:rPr>
      <w:rFonts w:ascii="Century" w:eastAsia="Times New Roman" w:hAnsi="Century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E1A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E1A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7E1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uto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7E1A84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7E1A84"/>
    <w:pPr>
      <w:spacing w:line="360" w:lineRule="auto"/>
      <w:jc w:val="both"/>
    </w:pPr>
    <w:rPr>
      <w:rFonts w:ascii="Century" w:hAnsi="Century"/>
      <w:sz w:val="22"/>
    </w:rPr>
  </w:style>
  <w:style w:type="character" w:customStyle="1" w:styleId="Corpodetexto2Char">
    <w:name w:val="Corpo de texto 2 Char"/>
    <w:basedOn w:val="Fontepargpadro"/>
    <w:link w:val="Corpodetexto2"/>
    <w:rsid w:val="007E1A84"/>
    <w:rPr>
      <w:rFonts w:ascii="Century" w:eastAsia="Times New Roman" w:hAnsi="Century" w:cs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E1A84"/>
    <w:pPr>
      <w:ind w:left="3600"/>
      <w:jc w:val="both"/>
    </w:pPr>
    <w:rPr>
      <w:rFonts w:ascii="Century" w:hAnsi="Century"/>
    </w:rPr>
  </w:style>
  <w:style w:type="character" w:customStyle="1" w:styleId="Recuodecorpodetexto3Char">
    <w:name w:val="Recuo de corpo de texto 3 Char"/>
    <w:basedOn w:val="Fontepargpadro"/>
    <w:link w:val="Recuodecorpodetexto3"/>
    <w:rsid w:val="007E1A84"/>
    <w:rPr>
      <w:rFonts w:ascii="Century" w:eastAsia="Times New Roman" w:hAnsi="Century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E1A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E1A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7E1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uto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7E1A84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2017-06-23T13:33:00Z</dcterms:created>
  <dcterms:modified xsi:type="dcterms:W3CDTF">2017-06-23T13:33:00Z</dcterms:modified>
</cp:coreProperties>
</file>