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D4E" w:rsidRDefault="00103D4E" w:rsidP="00103D4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>LEI MUNICIPAL Nº 2.515/2017.</w:t>
      </w:r>
    </w:p>
    <w:p w:rsidR="00103D4E" w:rsidRDefault="00103D4E" w:rsidP="00103D4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103D4E" w:rsidRDefault="00103D4E" w:rsidP="00103D4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3D4E" w:rsidRDefault="00103D4E" w:rsidP="00103D4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              </w:t>
      </w:r>
    </w:p>
    <w:p w:rsidR="00103D4E" w:rsidRDefault="00103D4E" w:rsidP="00103D4E">
      <w:pPr>
        <w:pStyle w:val="xmsonormal"/>
        <w:shd w:val="clear" w:color="auto" w:fill="FFFFFF"/>
        <w:spacing w:before="0" w:beforeAutospacing="0" w:after="0" w:afterAutospacing="0"/>
        <w:ind w:left="3544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Autoriza  a transferência de Recursos Financeiros á Associação Beneficente Hospitalar Guarujá.</w:t>
      </w:r>
    </w:p>
    <w:p w:rsidR="00103D4E" w:rsidRDefault="00103D4E" w:rsidP="00103D4E">
      <w:pPr>
        <w:pStyle w:val="xmsonormal"/>
        <w:shd w:val="clear" w:color="auto" w:fill="FFFFFF"/>
        <w:spacing w:before="0" w:beforeAutospacing="0" w:after="0" w:afterAutospacing="0"/>
        <w:ind w:left="2268" w:hanging="2268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3D4E" w:rsidRDefault="00103D4E" w:rsidP="00103D4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3D4E" w:rsidRDefault="00103D4E" w:rsidP="00103D4E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1º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Fica o Chefe do Poder Executivo Municipal, em nome do Município de Guarujá do Sul, Estado de Santa Catarina, autorizado a transferir  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ASSOCIAÇÃO BENEFICENTE HOSPITALAR GUARUJÁ</w:t>
      </w:r>
      <w:r>
        <w:rPr>
          <w:rFonts w:ascii="Arial" w:hAnsi="Arial" w:cs="Arial"/>
          <w:i/>
          <w:iCs/>
          <w:color w:val="000000"/>
        </w:rPr>
        <w:t>,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com nº de inscrição  83.835.736/0001-07 no Cadastro Nacional de Pessoa Jurídica, IE sob o  nº 250.287.579,  com sede a Rua Presidente Kennedy, nº 270, neste, a importância de R$ 107.000,00(cento e sete mil reais), a título de subvenção social, destinados à manutenção, coordenação e desenvolvimento de suas atividades.</w:t>
      </w:r>
    </w:p>
    <w:p w:rsidR="00103D4E" w:rsidRDefault="00103D4E" w:rsidP="00103D4E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2º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Os recursos serão repassados em 11(onze) parcelas mensais, no exercício de 2017.</w:t>
      </w:r>
    </w:p>
    <w:p w:rsidR="00103D4E" w:rsidRDefault="00103D4E" w:rsidP="00103D4E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Parágrafo único.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É obrigatório o depósito dos recursos em conta individualizada e vinculada em instituição bancária Oficial, movimentado por Cheques nominais e individuais por credor.</w:t>
      </w:r>
    </w:p>
    <w:p w:rsidR="00103D4E" w:rsidRDefault="00103D4E" w:rsidP="00103D4E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3º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A Associação terá o prazo de 15 (quinze) dias a contar da data do recebimento de cada  repasse, para proceder à boa e regular aplicação e comprovação do mesmo, junto a Contadoria Geral do município.</w:t>
      </w:r>
    </w:p>
    <w:p w:rsidR="00103D4E" w:rsidRDefault="00103D4E" w:rsidP="00103D4E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4º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A não obediência das finalidades e prazos estabelecidos nesta Lei acarretará na devolução integral dos valores, atualizados monetariamente pelo IGPm.</w:t>
      </w:r>
    </w:p>
    <w:p w:rsidR="00103D4E" w:rsidRDefault="00103D4E" w:rsidP="00103D4E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5º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As despesas impugnadas pela Contadoria Geral do Município à luz da legislação vigente, serão atualizadas monetariamente e devolvidas à municipalidade.</w:t>
      </w:r>
    </w:p>
    <w:p w:rsidR="00103D4E" w:rsidRDefault="00103D4E" w:rsidP="00103D4E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6º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São responsáveis pela aplicação dos recursos transferidos o Ordenador Primário (Presidente) e o Ordenador Secundário (Tesoureiro).</w:t>
      </w:r>
    </w:p>
    <w:p w:rsidR="00103D4E" w:rsidRDefault="00103D4E" w:rsidP="00103D4E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7º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A prestação de conta dos recursos recebidos será apresentada ao Executivo Municipal, em uma via e nos prazos previstos nesta Lei, instruídas com os seguintes documentos:</w:t>
      </w:r>
    </w:p>
    <w:p w:rsidR="00103D4E" w:rsidRDefault="00103D4E" w:rsidP="00103D4E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I - ofício de encaminhamento a prestação de contas;</w:t>
      </w:r>
    </w:p>
    <w:p w:rsidR="00103D4E" w:rsidRDefault="00103D4E" w:rsidP="00103D4E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II - balancete Modelo conforme padrão;</w:t>
      </w:r>
    </w:p>
    <w:p w:rsidR="00103D4E" w:rsidRDefault="00103D4E" w:rsidP="00103D4E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III - extrato bancário de conta especial e conciliação do saldo se for o caso;</w:t>
      </w:r>
    </w:p>
    <w:p w:rsidR="00103D4E" w:rsidRDefault="00103D4E" w:rsidP="00103D4E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IV- fotocópia dos documentos suportes de despesas bem legíveis e sem rasuras e/ou entrelinhas;</w:t>
      </w:r>
    </w:p>
    <w:p w:rsidR="00103D4E" w:rsidRDefault="00103D4E" w:rsidP="00103D4E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V -  declaração de lançamento contábil ratificando o ingresso dos valores na Receita Orçamentária da Entidade.</w:t>
      </w:r>
    </w:p>
    <w:p w:rsidR="00103D4E" w:rsidRDefault="00103D4E" w:rsidP="00103D4E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Parágrafo único.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A prestação de contas e demais documentos que comprovarem a boa e regular aplicação do recurso deverão obrigatoriamente ser assinados  pelos Ordenadores Primário e Secundário.</w:t>
      </w:r>
    </w:p>
    <w:p w:rsidR="00103D4E" w:rsidRDefault="00103D4E" w:rsidP="00103D4E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8º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Fica o Chefe do Poder Executivo Municipal, autorizado a regulamentar por ato próprio se necessário for, o processo de aplicação e tomada de contas dos recursos transferidos, visando a averiguação do emprego do dinheiro público.</w:t>
      </w:r>
    </w:p>
    <w:p w:rsidR="00103D4E" w:rsidRDefault="00103D4E" w:rsidP="00103D4E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Art. 9º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 As despesas decorrentes com a presente Lei , correrão por conta  dos  itens cabíveis na dotação orçamentária do Orçamento Municipal.</w:t>
      </w:r>
    </w:p>
    <w:p w:rsidR="00103D4E" w:rsidRDefault="00103D4E" w:rsidP="00103D4E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10</w:t>
      </w:r>
      <w:r>
        <w:rPr>
          <w:rFonts w:ascii="Arial" w:hAnsi="Arial" w:cs="Arial"/>
          <w:color w:val="000000"/>
        </w:rPr>
        <w:t>  Esta Lei entrará em vigor na data de sua publicação.</w:t>
      </w:r>
    </w:p>
    <w:p w:rsidR="00103D4E" w:rsidRDefault="00103D4E" w:rsidP="00103D4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103D4E" w:rsidRDefault="00103D4E" w:rsidP="00103D4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GABINETE DO PREFEITO MUNICIPAL DE GUARUJÁ DO SUL, SC, em,</w:t>
      </w:r>
    </w:p>
    <w:p w:rsidR="00103D4E" w:rsidRDefault="00103D4E" w:rsidP="00103D4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22 de fevereiro  de 2017-</w:t>
      </w:r>
    </w:p>
    <w:p w:rsidR="00103D4E" w:rsidRDefault="00103D4E" w:rsidP="00103D4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65º ano da Fundação e 55º ano da Instalação</w:t>
      </w:r>
    </w:p>
    <w:p w:rsidR="00103D4E" w:rsidRDefault="00103D4E" w:rsidP="00103D4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444444"/>
        </w:rPr>
        <w:t> </w:t>
      </w:r>
    </w:p>
    <w:p w:rsidR="00103D4E" w:rsidRDefault="00103D4E" w:rsidP="00103D4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Registre-se. Publique-se. Cumpra-se.</w:t>
      </w:r>
    </w:p>
    <w:p w:rsidR="00103D4E" w:rsidRDefault="00103D4E" w:rsidP="00103D4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 </w:t>
      </w:r>
    </w:p>
    <w:p w:rsidR="00103D4E" w:rsidRDefault="00103D4E" w:rsidP="00103D4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103D4E" w:rsidRDefault="00103D4E" w:rsidP="00103D4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103D4E" w:rsidRDefault="00103D4E" w:rsidP="00103D4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                                          Claudio Junior Weschenfelder</w:t>
      </w:r>
    </w:p>
    <w:p w:rsidR="00103D4E" w:rsidRDefault="00103D4E" w:rsidP="00103D4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                                              Prefeito Municipal</w:t>
      </w:r>
    </w:p>
    <w:p w:rsidR="00103D4E" w:rsidRDefault="00103D4E" w:rsidP="00103D4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103D4E" w:rsidRDefault="00103D4E" w:rsidP="00103D4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103D4E" w:rsidRDefault="00103D4E" w:rsidP="00103D4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103D4E" w:rsidRDefault="00103D4E" w:rsidP="00103D4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103D4E" w:rsidRDefault="00103D4E" w:rsidP="00103D4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103D4E" w:rsidRDefault="00103D4E" w:rsidP="00103D4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103D4E" w:rsidRDefault="00103D4E" w:rsidP="00103D4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sectPr w:rsidR="00103D4E" w:rsidSect="00AA0EAD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EAD"/>
    <w:rsid w:val="00103D4E"/>
    <w:rsid w:val="002F2E7A"/>
    <w:rsid w:val="009F39A1"/>
    <w:rsid w:val="00AA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A0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A0E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A0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A0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8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Cliente</cp:lastModifiedBy>
  <cp:revision>2</cp:revision>
  <dcterms:created xsi:type="dcterms:W3CDTF">2017-04-10T12:48:00Z</dcterms:created>
  <dcterms:modified xsi:type="dcterms:W3CDTF">2017-04-10T12:48:00Z</dcterms:modified>
</cp:coreProperties>
</file>