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FCC" w:rsidRDefault="009D1FCC" w:rsidP="009D1FCC">
      <w:pPr>
        <w:pStyle w:val="NormalWeb"/>
        <w:jc w:val="both"/>
        <w:rPr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Lei nº 2.664/2020.</w:t>
      </w:r>
    </w:p>
    <w:p w:rsidR="009D1FCC" w:rsidRDefault="009D1FCC" w:rsidP="009D1FCC">
      <w:pPr>
        <w:pStyle w:val="NormalWeb"/>
        <w:ind w:left="1800"/>
        <w:jc w:val="both"/>
        <w:rPr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9D1FCC" w:rsidRDefault="009D1FCC" w:rsidP="009D1FCC">
      <w:pPr>
        <w:pStyle w:val="NormalWeb"/>
        <w:ind w:left="1800"/>
        <w:jc w:val="both"/>
        <w:rPr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9D1FCC" w:rsidRDefault="009D1FCC" w:rsidP="009D1FCC">
      <w:pPr>
        <w:pStyle w:val="NormalWeb"/>
        <w:ind w:left="1800"/>
        <w:jc w:val="both"/>
        <w:rPr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9D1FCC" w:rsidRDefault="009D1FCC" w:rsidP="009D1FCC">
      <w:pPr>
        <w:pStyle w:val="NormalWeb"/>
        <w:ind w:left="1800"/>
        <w:jc w:val="both"/>
        <w:rPr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Concede Revisão Geral Anual sobre o vencimento dos cargos de provimento efetivo de Professor nível médio em Magistério e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contém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outras providencias. </w:t>
      </w:r>
    </w:p>
    <w:p w:rsidR="009D1FCC" w:rsidRDefault="009D1FCC" w:rsidP="009D1FCC">
      <w:pPr>
        <w:pStyle w:val="NormalWeb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D1FCC" w:rsidRDefault="009D1FCC" w:rsidP="009D1FCC">
      <w:pPr>
        <w:pStyle w:val="NormalWeb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D1FCC" w:rsidRDefault="009D1FCC" w:rsidP="009D1FCC">
      <w:pPr>
        <w:pStyle w:val="NormalWeb"/>
        <w:jc w:val="both"/>
        <w:rPr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Art. 1º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Fica o Chefe do Poder Executivo Municipal autorizado a  conceder  a partir de 01 de janeiro de 2020, um percentual de 12,84% sobre o vencimento  dos cargos de Provimento efetivo de Professor nível médio em magistério, pertencente ao Anexo III do Quadro em Extinção de Pessoal Permanente do Quadro do Magistério,   a </w:t>
      </w:r>
      <w:r>
        <w:rPr>
          <w:rFonts w:ascii="Arial" w:eastAsia="Times New Roman" w:hAnsi="Arial" w:cs="Arial"/>
          <w:color w:val="000000"/>
          <w:sz w:val="24"/>
          <w:szCs w:val="24"/>
        </w:rPr>
        <w:t>título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de  Revisão Geral Anual de que trata o Inciso X, do Art. 37 da Constituição da </w:t>
      </w:r>
      <w:r>
        <w:rPr>
          <w:rFonts w:ascii="Arial" w:eastAsia="Times New Roman" w:hAnsi="Arial" w:cs="Arial"/>
          <w:color w:val="000000"/>
          <w:sz w:val="24"/>
          <w:szCs w:val="24"/>
        </w:rPr>
        <w:t>República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Federativa do Brasil, e  nos termos da Lei Complementar Municipal de nº 057/2019  de 04/03/2019 em seu    Artigo  2º e parágrafo 1º.</w:t>
      </w:r>
    </w:p>
    <w:p w:rsidR="009D1FCC" w:rsidRDefault="009D1FCC" w:rsidP="009D1FCC">
      <w:pPr>
        <w:pStyle w:val="NormalWeb"/>
        <w:rPr>
          <w:color w:val="000000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D1FCC" w:rsidRDefault="009D1FCC" w:rsidP="009D1FCC">
      <w:pPr>
        <w:pStyle w:val="NormalWeb"/>
        <w:jc w:val="both"/>
        <w:rPr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Art. 2º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</w:rPr>
        <w:t>As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despesas com a execução da presente Lei correrão à conta das dotações próprias consignadas no Orçamento, e não afetarão as metas de resultados fiscais previstas, bem como atendem as exigências contidas na Lei Complementar Federal nº 101/2000 de 04/05/2000 (Lei de Responsabilidade Fiscal).</w:t>
      </w:r>
    </w:p>
    <w:p w:rsidR="009D1FCC" w:rsidRDefault="009D1FCC" w:rsidP="009D1FCC">
      <w:pPr>
        <w:pStyle w:val="NormalWeb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D1FCC" w:rsidRDefault="009D1FCC" w:rsidP="009D1FCC">
      <w:pPr>
        <w:pStyle w:val="NormalWeb"/>
        <w:jc w:val="both"/>
        <w:rPr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Art. 3º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Esta Lei entra em vigor na data de sua publicação com seus efeitos </w:t>
      </w:r>
      <w:r>
        <w:rPr>
          <w:rFonts w:ascii="Arial" w:eastAsia="Times New Roman" w:hAnsi="Arial" w:cs="Arial"/>
          <w:color w:val="000000"/>
          <w:sz w:val="24"/>
          <w:szCs w:val="24"/>
        </w:rPr>
        <w:t>retroativos a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partir de 1º de janeiro de 2020.</w:t>
      </w:r>
    </w:p>
    <w:p w:rsidR="009D1FCC" w:rsidRDefault="009D1FCC" w:rsidP="009D1FCC">
      <w:pPr>
        <w:pStyle w:val="NormalWeb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D1FCC" w:rsidRDefault="009D1FCC" w:rsidP="009D1FCC">
      <w:pPr>
        <w:pStyle w:val="NormalWeb"/>
        <w:jc w:val="both"/>
        <w:rPr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Art. 4º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 xml:space="preserve"> Revogam-se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as disposições em </w:t>
      </w:r>
      <w:r>
        <w:rPr>
          <w:rFonts w:ascii="Arial" w:eastAsia="Times New Roman" w:hAnsi="Arial" w:cs="Arial"/>
          <w:color w:val="000000"/>
          <w:sz w:val="24"/>
          <w:szCs w:val="24"/>
        </w:rPr>
        <w:t>contrário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9D1FCC" w:rsidRDefault="009D1FCC" w:rsidP="009D1FCC">
      <w:pPr>
        <w:pStyle w:val="NormalWeb"/>
        <w:rPr>
          <w:color w:val="000000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D1FCC" w:rsidRDefault="009D1FCC" w:rsidP="009D1FCC">
      <w:pPr>
        <w:pStyle w:val="NormalWeb"/>
        <w:jc w:val="both"/>
        <w:rPr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GABINETE DO PREFEITO MUNICIPAL DE GUARUJÁ DO SUL, SC, em,</w:t>
      </w:r>
    </w:p>
    <w:p w:rsidR="009D1FCC" w:rsidRDefault="009D1FCC" w:rsidP="009D1FCC">
      <w:pPr>
        <w:pStyle w:val="NormalWeb"/>
        <w:jc w:val="both"/>
        <w:rPr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21 de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fevereiro  de</w:t>
      </w:r>
      <w:proofErr w:type="gram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2020. </w:t>
      </w:r>
    </w:p>
    <w:p w:rsidR="009D1FCC" w:rsidRDefault="009D1FCC" w:rsidP="009D1FCC">
      <w:pPr>
        <w:pStyle w:val="NormalWeb"/>
        <w:jc w:val="both"/>
        <w:rPr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68º ano da Fundação e 58º ano da Instalação</w:t>
      </w:r>
    </w:p>
    <w:p w:rsidR="009D1FCC" w:rsidRDefault="009D1FCC" w:rsidP="009D1FCC">
      <w:pPr>
        <w:pStyle w:val="NormalWeb"/>
        <w:rPr>
          <w:color w:val="000000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shd w:val="clear" w:color="auto" w:fill="FFFFFF"/>
        </w:rPr>
        <w:t> </w:t>
      </w:r>
    </w:p>
    <w:p w:rsidR="009D1FCC" w:rsidRDefault="009D1FCC" w:rsidP="009D1FCC">
      <w:pPr>
        <w:pStyle w:val="NormalWeb"/>
        <w:jc w:val="both"/>
        <w:rPr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Registre-se. Publique-se. Cumpra-se.</w:t>
      </w:r>
    </w:p>
    <w:p w:rsidR="009D1FCC" w:rsidRDefault="009D1FCC" w:rsidP="009D1FCC">
      <w:pPr>
        <w:pStyle w:val="NormalWeb"/>
        <w:jc w:val="both"/>
        <w:rPr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9D1FCC" w:rsidRDefault="009D1FCC" w:rsidP="009D1FCC">
      <w:pPr>
        <w:pStyle w:val="NormalWeb"/>
        <w:jc w:val="both"/>
        <w:rPr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9D1FCC" w:rsidRDefault="009D1FCC" w:rsidP="009D1FCC">
      <w:pPr>
        <w:pStyle w:val="NormalWeb"/>
        <w:jc w:val="both"/>
        <w:rPr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9D1FCC" w:rsidRDefault="009D1FCC" w:rsidP="009D1FCC">
      <w:pPr>
        <w:pStyle w:val="NormalWeb"/>
        <w:jc w:val="both"/>
        <w:rPr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9D1FCC" w:rsidRDefault="009D1FCC" w:rsidP="009D1FCC">
      <w:pPr>
        <w:pStyle w:val="NormalWeb"/>
        <w:jc w:val="both"/>
        <w:rPr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 xml:space="preserve">        Claudio Junior Weschenfelder</w:t>
      </w:r>
    </w:p>
    <w:p w:rsidR="009D1FCC" w:rsidRDefault="009D1FCC" w:rsidP="009D1FCC">
      <w:pPr>
        <w:pStyle w:val="NormalWeb"/>
        <w:jc w:val="both"/>
        <w:rPr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>Prefeito Municipal</w:t>
      </w:r>
    </w:p>
    <w:p w:rsidR="00FD0C66" w:rsidRDefault="00FD0C66"/>
    <w:sectPr w:rsidR="00FD0C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FCC"/>
    <w:rsid w:val="009D1FCC"/>
    <w:rsid w:val="00FD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19F8E-A582-4E7E-A6CB-736D3D20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1FCC"/>
    <w:pPr>
      <w:spacing w:after="0" w:line="240" w:lineRule="auto"/>
    </w:pPr>
    <w:rPr>
      <w:rFonts w:ascii="Calibri" w:eastAsiaTheme="minorEastAsia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6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Junior</dc:creator>
  <cp:keywords/>
  <dc:description/>
  <cp:lastModifiedBy>Francisco Junior</cp:lastModifiedBy>
  <cp:revision>1</cp:revision>
  <dcterms:created xsi:type="dcterms:W3CDTF">2020-02-24T17:01:00Z</dcterms:created>
  <dcterms:modified xsi:type="dcterms:W3CDTF">2020-02-24T17:03:00Z</dcterms:modified>
</cp:coreProperties>
</file>