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D1C28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LEI N. 2.739/2021 </w:t>
      </w:r>
    </w:p>
    <w:p w14:paraId="6F1E05A4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color w:val="000000"/>
          <w:bdr w:val="none" w:sz="0" w:space="0" w:color="auto" w:frame="1"/>
        </w:rPr>
        <w:t> </w:t>
      </w:r>
    </w:p>
    <w:p w14:paraId="6DCB5FFC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ind w:left="2977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Altera dispositivo da Lei n. 2.679, de 16 de dezembro de 2020. </w:t>
      </w:r>
    </w:p>
    <w:p w14:paraId="2E2E26AE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  </w:t>
      </w:r>
    </w:p>
    <w:p w14:paraId="3B8EBCD9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Art. 1º</w:t>
      </w:r>
      <w:r>
        <w:rPr>
          <w:rFonts w:ascii="Palatino Linotype" w:hAnsi="Palatino Linotype"/>
          <w:color w:val="000000"/>
          <w:bdr w:val="none" w:sz="0" w:space="0" w:color="auto" w:frame="1"/>
        </w:rPr>
        <w:t> O artigo 2º da Lei n. 2.697, de 16 de dezembro de 2020, passa a vigorar acrescido do § 4º, com a seguinte redação: </w:t>
      </w:r>
    </w:p>
    <w:p w14:paraId="6DEFB04A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color w:val="000000"/>
          <w:bdr w:val="none" w:sz="0" w:space="0" w:color="auto" w:frame="1"/>
        </w:rPr>
        <w:t> </w:t>
      </w:r>
    </w:p>
    <w:p w14:paraId="1F4AF076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Art. 2º.</w:t>
      </w:r>
      <w:r>
        <w:rPr>
          <w:rFonts w:ascii="Palatino Linotype" w:hAnsi="Palatino Linotype"/>
          <w:color w:val="000000"/>
          <w:bdr w:val="none" w:sz="0" w:space="0" w:color="auto" w:frame="1"/>
        </w:rPr>
        <w:t> ......... </w:t>
      </w:r>
    </w:p>
    <w:p w14:paraId="18F78FCC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color w:val="000000"/>
          <w:bdr w:val="none" w:sz="0" w:space="0" w:color="auto" w:frame="1"/>
        </w:rPr>
        <w:t>..................... </w:t>
      </w:r>
    </w:p>
    <w:p w14:paraId="6C545009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color w:val="000000"/>
          <w:bdr w:val="none" w:sz="0" w:space="0" w:color="auto" w:frame="1"/>
        </w:rPr>
        <w:t>§ 4º. O disposto no § 1º deste artigo não impede que o município, esporadicamente e mediante pedido devidamente fundamentado da Associação, contribua/auxilie à Associação, em caráter suplementar, mediante lei específica. </w:t>
      </w:r>
    </w:p>
    <w:p w14:paraId="798F5BAF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color w:val="000000"/>
          <w:bdr w:val="none" w:sz="0" w:space="0" w:color="auto" w:frame="1"/>
        </w:rPr>
        <w:t> </w:t>
      </w:r>
    </w:p>
    <w:p w14:paraId="0BBD3081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Art. 2º</w:t>
      </w:r>
      <w:r>
        <w:rPr>
          <w:rFonts w:ascii="Palatino Linotype" w:hAnsi="Palatino Linotype"/>
          <w:color w:val="000000"/>
          <w:bdr w:val="none" w:sz="0" w:space="0" w:color="auto" w:frame="1"/>
        </w:rPr>
        <w:t> Esta lei entra em vigor na data da sua publicação. </w:t>
      </w:r>
    </w:p>
    <w:p w14:paraId="73FA75F0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 </w:t>
      </w:r>
    </w:p>
    <w:p w14:paraId="6A8B776A" w14:textId="139C9FD5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Art. 3</w:t>
      </w:r>
      <w:r>
        <w:rPr>
          <w:rFonts w:ascii="Palatino Linotype" w:hAnsi="Palatino Linotype"/>
          <w:b/>
          <w:bCs/>
          <w:color w:val="000000"/>
          <w:bdr w:val="none" w:sz="0" w:space="0" w:color="auto" w:frame="1"/>
        </w:rPr>
        <w:t>º</w:t>
      </w:r>
      <w:r>
        <w:rPr>
          <w:rFonts w:ascii="Palatino Linotype" w:hAnsi="Palatino Linotype"/>
          <w:color w:val="000000"/>
          <w:bdr w:val="none" w:sz="0" w:space="0" w:color="auto" w:frame="1"/>
        </w:rPr>
        <w:t xml:space="preserve"> Ficam</w:t>
      </w:r>
      <w:r>
        <w:rPr>
          <w:rFonts w:ascii="Palatino Linotype" w:hAnsi="Palatino Linotype"/>
          <w:color w:val="000000"/>
          <w:bdr w:val="none" w:sz="0" w:space="0" w:color="auto" w:frame="1"/>
        </w:rPr>
        <w:t xml:space="preserve"> revogadas as disposições em contrário. </w:t>
      </w:r>
    </w:p>
    <w:p w14:paraId="037107D6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Palatino Linotype" w:hAnsi="Palatino Linotype"/>
          <w:color w:val="000000"/>
          <w:bdr w:val="none" w:sz="0" w:space="0" w:color="auto" w:frame="1"/>
        </w:rPr>
        <w:t> </w:t>
      </w:r>
    </w:p>
    <w:p w14:paraId="2246468E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 </w:t>
      </w:r>
    </w:p>
    <w:p w14:paraId="7D0D76B2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GABINETE DO PREFEITO MUNICIPAL DE GUARUJÁ DO SUL, ESTADO DE SANTA CATARINA, em  </w:t>
      </w:r>
    </w:p>
    <w:p w14:paraId="088F84F3" w14:textId="05B0591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 xml:space="preserve">03 de 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dezembro de 2021</w:t>
      </w: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. </w:t>
      </w:r>
    </w:p>
    <w:p w14:paraId="04EC228A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69º ano da Fundação e 60º ano da Instalação </w:t>
      </w:r>
    </w:p>
    <w:p w14:paraId="71F5CDD0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ind w:left="2124"/>
        <w:jc w:val="both"/>
        <w:rPr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7DE5A1EA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6D8189DD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ind w:left="2124"/>
        <w:jc w:val="both"/>
        <w:rPr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1D92C6DE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ind w:left="2124"/>
        <w:jc w:val="both"/>
        <w:rPr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> </w:t>
      </w:r>
    </w:p>
    <w:p w14:paraId="22E3F590" w14:textId="5D09BDD6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ind w:left="2124"/>
        <w:jc w:val="center"/>
        <w:rPr>
          <w:color w:val="000000"/>
        </w:rPr>
      </w:pPr>
    </w:p>
    <w:p w14:paraId="1E5050A8" w14:textId="59C4A8E3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  <w:shd w:val="clear" w:color="auto" w:fill="FFFFFF"/>
        </w:rPr>
        <w:t>CLAUDIO JUNIOR WESCHENFELDER</w:t>
      </w:r>
    </w:p>
    <w:p w14:paraId="0A33117B" w14:textId="688FE6C0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Prefeito Municipal.</w:t>
      </w:r>
    </w:p>
    <w:p w14:paraId="643243FE" w14:textId="7D35AF3B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0F905A28" w14:textId="77777777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77675CD5" w14:textId="4567C76B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Arial" w:hAnsi="Arial" w:cs="Arial"/>
          <w:color w:val="000000"/>
          <w:bdr w:val="none" w:sz="0" w:space="0" w:color="auto" w:frame="1"/>
        </w:rPr>
        <w:t xml:space="preserve">- Certifico que a presente </w:t>
      </w:r>
      <w:r>
        <w:rPr>
          <w:rFonts w:ascii="Arial" w:hAnsi="Arial" w:cs="Arial"/>
          <w:color w:val="000000"/>
          <w:bdr w:val="none" w:sz="0" w:space="0" w:color="auto" w:frame="1"/>
        </w:rPr>
        <w:t>Lei foi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publicada e </w:t>
      </w:r>
      <w:r>
        <w:rPr>
          <w:rFonts w:ascii="Arial" w:hAnsi="Arial" w:cs="Arial"/>
          <w:color w:val="000000"/>
          <w:bdr w:val="none" w:sz="0" w:space="0" w:color="auto" w:frame="1"/>
        </w:rPr>
        <w:t>registrada nesta</w:t>
      </w:r>
      <w:r>
        <w:rPr>
          <w:rFonts w:ascii="Arial" w:hAnsi="Arial" w:cs="Arial"/>
          <w:color w:val="000000"/>
          <w:bdr w:val="none" w:sz="0" w:space="0" w:color="auto" w:frame="1"/>
        </w:rPr>
        <w:t xml:space="preserve"> Secretaria em data supra.</w:t>
      </w:r>
    </w:p>
    <w:p w14:paraId="5361575B" w14:textId="5AFD8C6A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8612130" w14:textId="4C00A276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21431431" w14:textId="014EB6FF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Julio Cesar Della Flora</w:t>
      </w:r>
    </w:p>
    <w:p w14:paraId="256A68E7" w14:textId="788E112C" w:rsidR="00311990" w:rsidRDefault="00311990" w:rsidP="00311990">
      <w:pPr>
        <w:pStyle w:val="xmsonormal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bdr w:val="none" w:sz="0" w:space="0" w:color="auto" w:frame="1"/>
        </w:rPr>
        <w:t>Secretário de Administração e Fazenda</w:t>
      </w:r>
    </w:p>
    <w:p w14:paraId="625244CE" w14:textId="77777777" w:rsidR="00311990" w:rsidRPr="00311990" w:rsidRDefault="00311990" w:rsidP="00311990">
      <w:pPr>
        <w:jc w:val="center"/>
      </w:pPr>
    </w:p>
    <w:sectPr w:rsidR="00311990" w:rsidRPr="00311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90"/>
    <w:rsid w:val="0031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90C39"/>
  <w15:chartTrackingRefBased/>
  <w15:docId w15:val="{250A37A4-B2A2-4319-93EB-A28D106E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11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69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816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2021-12-03T20:03:00Z</dcterms:created>
  <dcterms:modified xsi:type="dcterms:W3CDTF">2021-12-03T20:04:00Z</dcterms:modified>
</cp:coreProperties>
</file>